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E526" w14:textId="46B97B01" w:rsidR="001C2B22" w:rsidRPr="001C2B22" w:rsidRDefault="001C2B22" w:rsidP="001C2B22">
      <w:pPr>
        <w:pStyle w:val="Title"/>
      </w:pPr>
      <w:r w:rsidRPr="001C2B22">
        <w:t xml:space="preserve">Response to </w:t>
      </w:r>
      <w:r w:rsidR="000B1906">
        <w:t>“</w:t>
      </w:r>
      <w:r w:rsidRPr="001C2B22">
        <w:t>Regulatory Implications of Turning Internet Platforms into</w:t>
      </w:r>
      <w:r w:rsidR="00C96280">
        <w:t xml:space="preserve">      </w:t>
      </w:r>
      <w:r w:rsidRPr="001C2B22">
        <w:t>Common Carriers</w:t>
      </w:r>
      <w:r w:rsidR="000B1906">
        <w:t>”</w:t>
      </w:r>
    </w:p>
    <w:p w14:paraId="1C023F98" w14:textId="49B6658E" w:rsidR="001C2B22" w:rsidRPr="001C2B22" w:rsidRDefault="001C2B22" w:rsidP="001C2B22">
      <w:pPr>
        <w:pStyle w:val="Signature"/>
      </w:pPr>
      <w:r w:rsidRPr="001C2B22">
        <w:t xml:space="preserve">Adam </w:t>
      </w:r>
      <w:proofErr w:type="spellStart"/>
      <w:r w:rsidRPr="001C2B22">
        <w:t>Cand</w:t>
      </w:r>
      <w:r w:rsidR="009A4230">
        <w:t>eu</w:t>
      </w:r>
      <w:r w:rsidRPr="001C2B22">
        <w:t>b</w:t>
      </w:r>
      <w:proofErr w:type="spellEnd"/>
      <w:r w:rsidR="008044F0">
        <w:rPr>
          <w:rStyle w:val="FootnoteReference"/>
        </w:rPr>
        <w:footnoteReference w:customMarkFollows="1" w:id="1"/>
        <w:t>*</w:t>
      </w:r>
    </w:p>
    <w:p w14:paraId="09B31F27" w14:textId="1717F94D" w:rsidR="001C2B22" w:rsidRDefault="001C2B22" w:rsidP="001C2B22">
      <w:pPr>
        <w:pStyle w:val="TOCHeading"/>
      </w:pPr>
      <w:r w:rsidRPr="001C2B22">
        <w:t>Table of Contents</w:t>
      </w:r>
    </w:p>
    <w:p w14:paraId="4527954B" w14:textId="65FC0E50" w:rsidR="00002D62" w:rsidRDefault="00002D62">
      <w:pPr>
        <w:pStyle w:val="TOC1"/>
        <w:rPr>
          <w:rFonts w:asciiTheme="minorHAnsi" w:eastAsiaTheme="minorEastAsia" w:hAnsiTheme="minorHAnsi" w:cstheme="minorBidi"/>
          <w:smallCaps w:val="0"/>
          <w:kern w:val="2"/>
          <w:sz w:val="24"/>
          <w:szCs w:val="24"/>
          <w14:ligatures w14:val="standardContextual"/>
        </w:rPr>
      </w:pPr>
      <w:r>
        <w:fldChar w:fldCharType="begin"/>
      </w:r>
      <w:r>
        <w:instrText xml:space="preserve"> TOC \f \h \z \u \t "Heading 1,1,Heading 2,2,Heading 3,3" </w:instrText>
      </w:r>
      <w:r>
        <w:fldChar w:fldCharType="separate"/>
      </w:r>
      <w:hyperlink w:anchor="_Toc164183606" w:history="1">
        <w:r w:rsidRPr="00DD1E6C">
          <w:rPr>
            <w:rStyle w:val="Hyperlink"/>
          </w:rPr>
          <w:t>I.</w:t>
        </w:r>
        <w:r>
          <w:rPr>
            <w:rFonts w:asciiTheme="minorHAnsi" w:eastAsiaTheme="minorEastAsia" w:hAnsiTheme="minorHAnsi" w:cstheme="minorBidi"/>
            <w:smallCaps w:val="0"/>
            <w:kern w:val="2"/>
            <w:sz w:val="24"/>
            <w:szCs w:val="24"/>
            <w14:ligatures w14:val="standardContextual"/>
          </w:rPr>
          <w:tab/>
        </w:r>
        <w:r>
          <w:rPr>
            <w:rFonts w:asciiTheme="minorHAnsi" w:eastAsiaTheme="minorEastAsia" w:hAnsiTheme="minorHAnsi" w:cstheme="minorBidi"/>
            <w:smallCaps w:val="0"/>
            <w:kern w:val="2"/>
            <w:sz w:val="24"/>
            <w:szCs w:val="24"/>
            <w14:ligatures w14:val="standardContextual"/>
          </w:rPr>
          <w:tab/>
        </w:r>
        <w:r w:rsidRPr="00DD1E6C">
          <w:rPr>
            <w:rStyle w:val="Hyperlink"/>
          </w:rPr>
          <w:t>Introduction</w:t>
        </w:r>
        <w:r>
          <w:rPr>
            <w:webHidden/>
          </w:rPr>
          <w:tab/>
        </w:r>
        <w:r>
          <w:rPr>
            <w:webHidden/>
          </w:rPr>
          <w:fldChar w:fldCharType="begin"/>
        </w:r>
        <w:r>
          <w:rPr>
            <w:webHidden/>
          </w:rPr>
          <w:instrText xml:space="preserve"> PAGEREF _Toc164183606 \h </w:instrText>
        </w:r>
        <w:r>
          <w:rPr>
            <w:webHidden/>
          </w:rPr>
        </w:r>
        <w:r>
          <w:rPr>
            <w:webHidden/>
          </w:rPr>
          <w:fldChar w:fldCharType="separate"/>
        </w:r>
        <w:r w:rsidR="009468D4">
          <w:rPr>
            <w:webHidden/>
          </w:rPr>
          <w:t>340</w:t>
        </w:r>
        <w:r>
          <w:rPr>
            <w:webHidden/>
          </w:rPr>
          <w:fldChar w:fldCharType="end"/>
        </w:r>
      </w:hyperlink>
    </w:p>
    <w:p w14:paraId="1A974786" w14:textId="20E10E3D" w:rsidR="00002D62" w:rsidRDefault="00000000">
      <w:pPr>
        <w:pStyle w:val="TOC1"/>
        <w:rPr>
          <w:rFonts w:asciiTheme="minorHAnsi" w:eastAsiaTheme="minorEastAsia" w:hAnsiTheme="minorHAnsi" w:cstheme="minorBidi"/>
          <w:smallCaps w:val="0"/>
          <w:kern w:val="2"/>
          <w:sz w:val="24"/>
          <w:szCs w:val="24"/>
          <w14:ligatures w14:val="standardContextual"/>
        </w:rPr>
      </w:pPr>
      <w:hyperlink w:anchor="_Toc164183607" w:history="1">
        <w:r w:rsidR="00002D62" w:rsidRPr="00DD1E6C">
          <w:rPr>
            <w:rStyle w:val="Hyperlink"/>
          </w:rPr>
          <w:t>II.</w:t>
        </w:r>
        <w:r w:rsidR="00002D62">
          <w:rPr>
            <w:rFonts w:asciiTheme="minorHAnsi" w:eastAsiaTheme="minorEastAsia" w:hAnsiTheme="minorHAnsi" w:cstheme="minorBidi"/>
            <w:smallCaps w:val="0"/>
            <w:kern w:val="2"/>
            <w:sz w:val="24"/>
            <w:szCs w:val="24"/>
            <w14:ligatures w14:val="standardContextual"/>
          </w:rPr>
          <w:tab/>
        </w:r>
        <w:r w:rsidR="00002D62">
          <w:rPr>
            <w:rFonts w:asciiTheme="minorHAnsi" w:eastAsiaTheme="minorEastAsia" w:hAnsiTheme="minorHAnsi" w:cstheme="minorBidi"/>
            <w:smallCaps w:val="0"/>
            <w:kern w:val="2"/>
            <w:sz w:val="24"/>
            <w:szCs w:val="24"/>
            <w14:ligatures w14:val="standardContextual"/>
          </w:rPr>
          <w:tab/>
        </w:r>
        <w:r w:rsidR="00002D62" w:rsidRPr="00DD1E6C">
          <w:rPr>
            <w:rStyle w:val="Hyperlink"/>
          </w:rPr>
          <w:t>Response to Spiwak</w:t>
        </w:r>
        <w:r w:rsidR="000B1906">
          <w:rPr>
            <w:rStyle w:val="Hyperlink"/>
          </w:rPr>
          <w:t>’</w:t>
        </w:r>
        <w:r w:rsidR="00002D62" w:rsidRPr="00DD1E6C">
          <w:rPr>
            <w:rStyle w:val="Hyperlink"/>
          </w:rPr>
          <w:t>s Article</w:t>
        </w:r>
        <w:r w:rsidR="00002D62">
          <w:rPr>
            <w:webHidden/>
          </w:rPr>
          <w:tab/>
        </w:r>
        <w:r w:rsidR="00002D62">
          <w:rPr>
            <w:webHidden/>
          </w:rPr>
          <w:fldChar w:fldCharType="begin"/>
        </w:r>
        <w:r w:rsidR="00002D62">
          <w:rPr>
            <w:webHidden/>
          </w:rPr>
          <w:instrText xml:space="preserve"> PAGEREF _Toc164183607 \h </w:instrText>
        </w:r>
        <w:r w:rsidR="00002D62">
          <w:rPr>
            <w:webHidden/>
          </w:rPr>
        </w:r>
        <w:r w:rsidR="00002D62">
          <w:rPr>
            <w:webHidden/>
          </w:rPr>
          <w:fldChar w:fldCharType="separate"/>
        </w:r>
        <w:r w:rsidR="009468D4">
          <w:rPr>
            <w:webHidden/>
          </w:rPr>
          <w:t>340</w:t>
        </w:r>
        <w:r w:rsidR="00002D62">
          <w:rPr>
            <w:webHidden/>
          </w:rPr>
          <w:fldChar w:fldCharType="end"/>
        </w:r>
      </w:hyperlink>
    </w:p>
    <w:p w14:paraId="389FA67D" w14:textId="1B52E904" w:rsidR="00002D62" w:rsidRDefault="00000000">
      <w:pPr>
        <w:pStyle w:val="TOC2"/>
        <w:rPr>
          <w:rFonts w:asciiTheme="minorHAnsi" w:eastAsiaTheme="minorEastAsia" w:hAnsiTheme="minorHAnsi" w:cstheme="minorBidi"/>
          <w:i w:val="0"/>
          <w:kern w:val="2"/>
          <w:sz w:val="24"/>
          <w:szCs w:val="24"/>
          <w14:ligatures w14:val="standardContextual"/>
        </w:rPr>
      </w:pPr>
      <w:hyperlink w:anchor="_Toc164183608" w:history="1">
        <w:r w:rsidR="00002D62" w:rsidRPr="00DD1E6C">
          <w:rPr>
            <w:rStyle w:val="Hyperlink"/>
          </w:rPr>
          <w:t>A.</w:t>
        </w:r>
        <w:r w:rsidR="00002D62">
          <w:rPr>
            <w:rFonts w:asciiTheme="minorHAnsi" w:eastAsiaTheme="minorEastAsia" w:hAnsiTheme="minorHAnsi" w:cstheme="minorBidi"/>
            <w:i w:val="0"/>
            <w:kern w:val="2"/>
            <w:sz w:val="24"/>
            <w:szCs w:val="24"/>
            <w14:ligatures w14:val="standardContextual"/>
          </w:rPr>
          <w:tab/>
        </w:r>
        <w:r w:rsidR="00002D62" w:rsidRPr="00DD1E6C">
          <w:rPr>
            <w:rStyle w:val="Hyperlink"/>
          </w:rPr>
          <w:t>NetChoice v. Paxton</w:t>
        </w:r>
        <w:r w:rsidR="00002D62">
          <w:rPr>
            <w:webHidden/>
          </w:rPr>
          <w:tab/>
        </w:r>
        <w:r w:rsidR="00002D62" w:rsidRPr="00002D62">
          <w:rPr>
            <w:i w:val="0"/>
            <w:iCs/>
            <w:webHidden/>
          </w:rPr>
          <w:fldChar w:fldCharType="begin"/>
        </w:r>
        <w:r w:rsidR="00002D62" w:rsidRPr="00002D62">
          <w:rPr>
            <w:i w:val="0"/>
            <w:iCs/>
            <w:webHidden/>
          </w:rPr>
          <w:instrText xml:space="preserve"> PAGEREF _Toc164183608 \h </w:instrText>
        </w:r>
        <w:r w:rsidR="00002D62" w:rsidRPr="00002D62">
          <w:rPr>
            <w:i w:val="0"/>
            <w:iCs/>
            <w:webHidden/>
          </w:rPr>
        </w:r>
        <w:r w:rsidR="00002D62" w:rsidRPr="00002D62">
          <w:rPr>
            <w:i w:val="0"/>
            <w:iCs/>
            <w:webHidden/>
          </w:rPr>
          <w:fldChar w:fldCharType="separate"/>
        </w:r>
        <w:r w:rsidR="009468D4">
          <w:rPr>
            <w:i w:val="0"/>
            <w:iCs/>
            <w:webHidden/>
          </w:rPr>
          <w:t>340</w:t>
        </w:r>
        <w:r w:rsidR="00002D62" w:rsidRPr="00002D62">
          <w:rPr>
            <w:i w:val="0"/>
            <w:iCs/>
            <w:webHidden/>
          </w:rPr>
          <w:fldChar w:fldCharType="end"/>
        </w:r>
      </w:hyperlink>
    </w:p>
    <w:p w14:paraId="5FC2D5D6" w14:textId="6D141EF8" w:rsidR="00002D62" w:rsidRDefault="00000000">
      <w:pPr>
        <w:pStyle w:val="TOC2"/>
        <w:rPr>
          <w:rFonts w:asciiTheme="minorHAnsi" w:eastAsiaTheme="minorEastAsia" w:hAnsiTheme="minorHAnsi" w:cstheme="minorBidi"/>
          <w:i w:val="0"/>
          <w:kern w:val="2"/>
          <w:sz w:val="24"/>
          <w:szCs w:val="24"/>
          <w14:ligatures w14:val="standardContextual"/>
        </w:rPr>
      </w:pPr>
      <w:hyperlink w:anchor="_Toc164183609" w:history="1">
        <w:r w:rsidR="00002D62" w:rsidRPr="00DD1E6C">
          <w:rPr>
            <w:rStyle w:val="Hyperlink"/>
          </w:rPr>
          <w:t>B.</w:t>
        </w:r>
        <w:r w:rsidR="00002D62">
          <w:rPr>
            <w:rFonts w:asciiTheme="minorHAnsi" w:eastAsiaTheme="minorEastAsia" w:hAnsiTheme="minorHAnsi" w:cstheme="minorBidi"/>
            <w:i w:val="0"/>
            <w:kern w:val="2"/>
            <w:sz w:val="24"/>
            <w:szCs w:val="24"/>
            <w14:ligatures w14:val="standardContextual"/>
          </w:rPr>
          <w:tab/>
        </w:r>
        <w:r w:rsidR="00002D62" w:rsidRPr="00DD1E6C">
          <w:rPr>
            <w:rStyle w:val="Hyperlink"/>
          </w:rPr>
          <w:t>H.B. 20</w:t>
        </w:r>
        <w:r w:rsidR="00002D62">
          <w:rPr>
            <w:webHidden/>
          </w:rPr>
          <w:tab/>
        </w:r>
        <w:r w:rsidR="00002D62" w:rsidRPr="00002D62">
          <w:rPr>
            <w:i w:val="0"/>
            <w:iCs/>
            <w:webHidden/>
          </w:rPr>
          <w:fldChar w:fldCharType="begin"/>
        </w:r>
        <w:r w:rsidR="00002D62" w:rsidRPr="00002D62">
          <w:rPr>
            <w:i w:val="0"/>
            <w:iCs/>
            <w:webHidden/>
          </w:rPr>
          <w:instrText xml:space="preserve"> PAGEREF _Toc164183609 \h </w:instrText>
        </w:r>
        <w:r w:rsidR="00002D62" w:rsidRPr="00002D62">
          <w:rPr>
            <w:i w:val="0"/>
            <w:iCs/>
            <w:webHidden/>
          </w:rPr>
        </w:r>
        <w:r w:rsidR="00002D62" w:rsidRPr="00002D62">
          <w:rPr>
            <w:i w:val="0"/>
            <w:iCs/>
            <w:webHidden/>
          </w:rPr>
          <w:fldChar w:fldCharType="separate"/>
        </w:r>
        <w:r w:rsidR="009468D4">
          <w:rPr>
            <w:i w:val="0"/>
            <w:iCs/>
            <w:webHidden/>
          </w:rPr>
          <w:t>343</w:t>
        </w:r>
        <w:r w:rsidR="00002D62" w:rsidRPr="00002D62">
          <w:rPr>
            <w:i w:val="0"/>
            <w:iCs/>
            <w:webHidden/>
          </w:rPr>
          <w:fldChar w:fldCharType="end"/>
        </w:r>
      </w:hyperlink>
    </w:p>
    <w:p w14:paraId="50925712" w14:textId="4F51076D" w:rsidR="00002D62" w:rsidRDefault="00000000">
      <w:pPr>
        <w:pStyle w:val="TOC1"/>
        <w:rPr>
          <w:rFonts w:asciiTheme="minorHAnsi" w:eastAsiaTheme="minorEastAsia" w:hAnsiTheme="minorHAnsi" w:cstheme="minorBidi"/>
          <w:smallCaps w:val="0"/>
          <w:kern w:val="2"/>
          <w:sz w:val="24"/>
          <w:szCs w:val="24"/>
          <w14:ligatures w14:val="standardContextual"/>
        </w:rPr>
      </w:pPr>
      <w:hyperlink w:anchor="_Toc164183610" w:history="1">
        <w:r w:rsidR="00002D62" w:rsidRPr="00DD1E6C">
          <w:rPr>
            <w:rStyle w:val="Hyperlink"/>
          </w:rPr>
          <w:t>III.</w:t>
        </w:r>
        <w:r w:rsidR="00002D62">
          <w:rPr>
            <w:rFonts w:asciiTheme="minorHAnsi" w:eastAsiaTheme="minorEastAsia" w:hAnsiTheme="minorHAnsi" w:cstheme="minorBidi"/>
            <w:smallCaps w:val="0"/>
            <w:kern w:val="2"/>
            <w:sz w:val="24"/>
            <w:szCs w:val="24"/>
            <w14:ligatures w14:val="standardContextual"/>
          </w:rPr>
          <w:tab/>
        </w:r>
        <w:r w:rsidR="00002D62">
          <w:rPr>
            <w:rFonts w:asciiTheme="minorHAnsi" w:eastAsiaTheme="minorEastAsia" w:hAnsiTheme="minorHAnsi" w:cstheme="minorBidi"/>
            <w:smallCaps w:val="0"/>
            <w:kern w:val="2"/>
            <w:sz w:val="24"/>
            <w:szCs w:val="24"/>
            <w14:ligatures w14:val="standardContextual"/>
          </w:rPr>
          <w:tab/>
        </w:r>
        <w:r w:rsidR="00002D62" w:rsidRPr="00DD1E6C">
          <w:rPr>
            <w:rStyle w:val="Hyperlink"/>
          </w:rPr>
          <w:t>Conclusion</w:t>
        </w:r>
        <w:r w:rsidR="00002D62">
          <w:rPr>
            <w:webHidden/>
          </w:rPr>
          <w:tab/>
        </w:r>
        <w:r w:rsidR="00002D62">
          <w:rPr>
            <w:webHidden/>
          </w:rPr>
          <w:fldChar w:fldCharType="begin"/>
        </w:r>
        <w:r w:rsidR="00002D62">
          <w:rPr>
            <w:webHidden/>
          </w:rPr>
          <w:instrText xml:space="preserve"> PAGEREF _Toc164183610 \h </w:instrText>
        </w:r>
        <w:r w:rsidR="00002D62">
          <w:rPr>
            <w:webHidden/>
          </w:rPr>
        </w:r>
        <w:r w:rsidR="00002D62">
          <w:rPr>
            <w:webHidden/>
          </w:rPr>
          <w:fldChar w:fldCharType="separate"/>
        </w:r>
        <w:r w:rsidR="009468D4">
          <w:rPr>
            <w:webHidden/>
          </w:rPr>
          <w:t>347</w:t>
        </w:r>
        <w:r w:rsidR="00002D62">
          <w:rPr>
            <w:webHidden/>
          </w:rPr>
          <w:fldChar w:fldCharType="end"/>
        </w:r>
      </w:hyperlink>
    </w:p>
    <w:p w14:paraId="6C276AD7" w14:textId="19232FB3" w:rsidR="00002D62" w:rsidRPr="00002D62" w:rsidRDefault="00002D62" w:rsidP="00002D62">
      <w:r>
        <w:fldChar w:fldCharType="end"/>
      </w:r>
    </w:p>
    <w:p w14:paraId="54047F31" w14:textId="77777777" w:rsidR="001C2B22" w:rsidRPr="001C2B22" w:rsidRDefault="001C2B22" w:rsidP="001C2B22"/>
    <w:p w14:paraId="7CF49343" w14:textId="77777777" w:rsidR="001C2B22" w:rsidRPr="001C2B22" w:rsidRDefault="001C2B22" w:rsidP="001C2B22"/>
    <w:p w14:paraId="35F84559" w14:textId="77777777" w:rsidR="001C2B22" w:rsidRPr="001C2B22" w:rsidRDefault="001C2B22" w:rsidP="001C2B22"/>
    <w:p w14:paraId="7DC998D1" w14:textId="77777777" w:rsidR="001C2B22" w:rsidRPr="001C2B22" w:rsidRDefault="001C2B22" w:rsidP="001C2B22"/>
    <w:p w14:paraId="0BEF6729" w14:textId="77777777" w:rsidR="001C2B22" w:rsidRPr="001C2B22" w:rsidRDefault="001C2B22" w:rsidP="001C2B22"/>
    <w:p w14:paraId="32EF91BB" w14:textId="77777777" w:rsidR="001C2B22" w:rsidRPr="001C2B22" w:rsidRDefault="001C2B22" w:rsidP="001C2B22"/>
    <w:p w14:paraId="11DF40A9" w14:textId="77777777" w:rsidR="001C2B22" w:rsidRPr="001C2B22" w:rsidRDefault="001C2B22" w:rsidP="001C2B22"/>
    <w:p w14:paraId="39E40E3C" w14:textId="77777777" w:rsidR="001C2B22" w:rsidRPr="001C2B22" w:rsidRDefault="001C2B22" w:rsidP="001C2B22"/>
    <w:p w14:paraId="70AEC290" w14:textId="77777777" w:rsidR="001C2B22" w:rsidRPr="001C2B22" w:rsidRDefault="001C2B22" w:rsidP="001C2B22"/>
    <w:p w14:paraId="51DCD4F2" w14:textId="77777777" w:rsidR="001C2B22" w:rsidRDefault="001C2B22" w:rsidP="001C2B22"/>
    <w:p w14:paraId="2F73D820" w14:textId="77777777" w:rsidR="0009441A" w:rsidRDefault="0009441A" w:rsidP="001C2B22"/>
    <w:p w14:paraId="161B5219" w14:textId="77777777" w:rsidR="0009441A" w:rsidRDefault="0009441A" w:rsidP="001C2B22"/>
    <w:p w14:paraId="15DCCD6F" w14:textId="77777777" w:rsidR="0009441A" w:rsidRDefault="0009441A" w:rsidP="001C2B22"/>
    <w:p w14:paraId="7DA296AC" w14:textId="77777777" w:rsidR="0009441A" w:rsidRDefault="0009441A" w:rsidP="001C2B22"/>
    <w:p w14:paraId="3975261E" w14:textId="77777777" w:rsidR="0009441A" w:rsidRDefault="0009441A" w:rsidP="001C2B22"/>
    <w:p w14:paraId="34EC54E8" w14:textId="77777777" w:rsidR="0009441A" w:rsidRDefault="0009441A" w:rsidP="001C2B22"/>
    <w:p w14:paraId="50860249" w14:textId="77777777" w:rsidR="0009441A" w:rsidRDefault="0009441A" w:rsidP="001C2B22"/>
    <w:p w14:paraId="31FEC26B" w14:textId="77777777" w:rsidR="0009441A" w:rsidRPr="001C2B22" w:rsidRDefault="0009441A" w:rsidP="001C2B22"/>
    <w:p w14:paraId="4FD15F3A" w14:textId="77777777" w:rsidR="00EF3CF9" w:rsidRDefault="00EF3CF9" w:rsidP="00002D62">
      <w:pPr>
        <w:pStyle w:val="BodyText"/>
        <w:ind w:firstLine="0"/>
        <w:rPr>
          <w:rFonts w:cs="Times New Roman"/>
        </w:rPr>
      </w:pPr>
    </w:p>
    <w:p w14:paraId="445E914F" w14:textId="3029ABAD" w:rsidR="00EF3CF9" w:rsidRPr="00002D62" w:rsidRDefault="00002D62" w:rsidP="00002D62">
      <w:pPr>
        <w:pStyle w:val="Heading1"/>
        <w:numPr>
          <w:ilvl w:val="0"/>
          <w:numId w:val="5"/>
        </w:numPr>
      </w:pPr>
      <w:bookmarkStart w:id="0" w:name="_Toc164183606"/>
      <w:r w:rsidRPr="00002D62">
        <w:lastRenderedPageBreak/>
        <w:t>Introduction</w:t>
      </w:r>
      <w:bookmarkEnd w:id="0"/>
    </w:p>
    <w:p w14:paraId="3D1B1209" w14:textId="3340AAE9" w:rsidR="002A222D" w:rsidRDefault="5B4B383C" w:rsidP="001C2B22">
      <w:pPr>
        <w:pStyle w:val="BodyText"/>
        <w:rPr>
          <w:rFonts w:cs="Times New Roman"/>
        </w:rPr>
      </w:pPr>
      <w:r w:rsidRPr="001C2B22">
        <w:rPr>
          <w:rFonts w:cs="Times New Roman"/>
        </w:rPr>
        <w:t>A</w:t>
      </w:r>
      <w:r w:rsidR="7ED482FB" w:rsidRPr="001C2B22">
        <w:rPr>
          <w:rFonts w:cs="Times New Roman"/>
        </w:rPr>
        <w:t>n</w:t>
      </w:r>
      <w:r w:rsidR="61245128" w:rsidRPr="001C2B22">
        <w:rPr>
          <w:rFonts w:cs="Times New Roman"/>
        </w:rPr>
        <w:t xml:space="preserve"> article</w:t>
      </w:r>
      <w:r w:rsidR="56CB7D23" w:rsidRPr="001C2B22">
        <w:rPr>
          <w:rFonts w:cs="Times New Roman"/>
        </w:rPr>
        <w:t xml:space="preserve"> </w:t>
      </w:r>
      <w:r w:rsidR="152B4609" w:rsidRPr="001C2B22">
        <w:rPr>
          <w:rFonts w:cs="Times New Roman"/>
        </w:rPr>
        <w:t xml:space="preserve">by Lawrence </w:t>
      </w:r>
      <w:proofErr w:type="spellStart"/>
      <w:r w:rsidR="152B4609" w:rsidRPr="001C2B22">
        <w:rPr>
          <w:rFonts w:cs="Times New Roman"/>
        </w:rPr>
        <w:t>Spiwak</w:t>
      </w:r>
      <w:proofErr w:type="spellEnd"/>
      <w:r w:rsidR="152B4609" w:rsidRPr="001C2B22">
        <w:rPr>
          <w:rFonts w:cs="Times New Roman"/>
        </w:rPr>
        <w:t xml:space="preserve"> </w:t>
      </w:r>
      <w:r w:rsidR="56CB7D23" w:rsidRPr="001C2B22">
        <w:rPr>
          <w:rFonts w:cs="Times New Roman"/>
        </w:rPr>
        <w:t>in the Federal Communications Law Journal</w:t>
      </w:r>
      <w:r w:rsidR="61245128" w:rsidRPr="001C2B22">
        <w:rPr>
          <w:rFonts w:cs="Times New Roman"/>
        </w:rPr>
        <w:t xml:space="preserve">, </w:t>
      </w:r>
      <w:r w:rsidR="0A15E527" w:rsidRPr="001C2B22">
        <w:rPr>
          <w:rFonts w:cs="Times New Roman"/>
          <w:i/>
          <w:iCs/>
        </w:rPr>
        <w:t xml:space="preserve">Regulatory Implications </w:t>
      </w:r>
      <w:r w:rsidR="62CEEB0D" w:rsidRPr="001C2B22">
        <w:rPr>
          <w:rFonts w:cs="Times New Roman"/>
          <w:i/>
          <w:iCs/>
        </w:rPr>
        <w:t>o</w:t>
      </w:r>
      <w:r w:rsidR="0A15E527" w:rsidRPr="001C2B22">
        <w:rPr>
          <w:rFonts w:cs="Times New Roman"/>
          <w:i/>
          <w:iCs/>
        </w:rPr>
        <w:t xml:space="preserve">f Turning Internet Platforms </w:t>
      </w:r>
      <w:r w:rsidR="00C96280" w:rsidRPr="001C2B22">
        <w:rPr>
          <w:rFonts w:cs="Times New Roman"/>
          <w:i/>
          <w:iCs/>
        </w:rPr>
        <w:t>into</w:t>
      </w:r>
      <w:r w:rsidR="0A15E527" w:rsidRPr="001C2B22">
        <w:rPr>
          <w:rFonts w:cs="Times New Roman"/>
          <w:i/>
          <w:iCs/>
        </w:rPr>
        <w:t xml:space="preserve"> Common Carriers</w:t>
      </w:r>
      <w:r w:rsidR="0A15E527" w:rsidRPr="001C2B22">
        <w:rPr>
          <w:rFonts w:cs="Times New Roman"/>
        </w:rPr>
        <w:t>,</w:t>
      </w:r>
      <w:r w:rsidR="00E4152E" w:rsidRPr="001C2B22">
        <w:rPr>
          <w:rStyle w:val="FootnoteReference"/>
          <w:rFonts w:cs="Times New Roman"/>
        </w:rPr>
        <w:footnoteReference w:id="2"/>
      </w:r>
      <w:r w:rsidR="0A15E527" w:rsidRPr="001C2B22">
        <w:rPr>
          <w:rFonts w:cs="Times New Roman"/>
        </w:rPr>
        <w:t xml:space="preserve"> </w:t>
      </w:r>
      <w:r w:rsidR="61245128" w:rsidRPr="001C2B22">
        <w:rPr>
          <w:rFonts w:cs="Times New Roman"/>
        </w:rPr>
        <w:t>critiques</w:t>
      </w:r>
      <w:r w:rsidR="3C5552CA" w:rsidRPr="001C2B22">
        <w:rPr>
          <w:rFonts w:cs="Times New Roman"/>
        </w:rPr>
        <w:t xml:space="preserve"> </w:t>
      </w:r>
      <w:r w:rsidR="61245128" w:rsidRPr="001C2B22">
        <w:rPr>
          <w:rFonts w:cs="Times New Roman"/>
        </w:rPr>
        <w:t xml:space="preserve">my </w:t>
      </w:r>
      <w:r w:rsidR="3C5552CA" w:rsidRPr="001C2B22">
        <w:rPr>
          <w:rFonts w:cs="Times New Roman"/>
        </w:rPr>
        <w:t>article</w:t>
      </w:r>
      <w:r w:rsidR="00B65CD2" w:rsidRPr="001C2B22">
        <w:rPr>
          <w:rStyle w:val="FootnoteReference"/>
          <w:rFonts w:cs="Times New Roman"/>
        </w:rPr>
        <w:footnoteReference w:id="3"/>
      </w:r>
      <w:r w:rsidR="3C5552CA" w:rsidRPr="001C2B22">
        <w:rPr>
          <w:rFonts w:cs="Times New Roman"/>
        </w:rPr>
        <w:t xml:space="preserve"> and </w:t>
      </w:r>
      <w:r w:rsidR="6CAD8D7B" w:rsidRPr="001C2B22">
        <w:rPr>
          <w:rFonts w:cs="Times New Roman"/>
        </w:rPr>
        <w:t>one</w:t>
      </w:r>
      <w:r w:rsidR="3C5552CA" w:rsidRPr="001C2B22">
        <w:rPr>
          <w:rFonts w:cs="Times New Roman"/>
        </w:rPr>
        <w:t xml:space="preserve"> </w:t>
      </w:r>
      <w:r w:rsidR="6CAD8D7B" w:rsidRPr="001C2B22">
        <w:rPr>
          <w:rFonts w:cs="Times New Roman"/>
        </w:rPr>
        <w:t>by</w:t>
      </w:r>
      <w:r w:rsidR="3C5552CA" w:rsidRPr="001C2B22">
        <w:rPr>
          <w:rFonts w:cs="Times New Roman"/>
        </w:rPr>
        <w:t xml:space="preserve"> Eugene Volokh,</w:t>
      </w:r>
      <w:r w:rsidR="00612BBA" w:rsidRPr="001C2B22">
        <w:rPr>
          <w:rStyle w:val="FootnoteReference"/>
          <w:rFonts w:cs="Times New Roman"/>
        </w:rPr>
        <w:footnoteReference w:id="4"/>
      </w:r>
      <w:r w:rsidR="3C5552CA" w:rsidRPr="001C2B22">
        <w:rPr>
          <w:rFonts w:cs="Times New Roman"/>
        </w:rPr>
        <w:t xml:space="preserve"> </w:t>
      </w:r>
      <w:r w:rsidR="41920962" w:rsidRPr="001C2B22">
        <w:rPr>
          <w:rFonts w:cs="Times New Roman"/>
        </w:rPr>
        <w:t xml:space="preserve">both of </w:t>
      </w:r>
      <w:r w:rsidR="61245128" w:rsidRPr="001C2B22">
        <w:rPr>
          <w:rFonts w:cs="Times New Roman"/>
        </w:rPr>
        <w:t>which</w:t>
      </w:r>
      <w:r w:rsidR="35A828B6" w:rsidRPr="001C2B22">
        <w:rPr>
          <w:rFonts w:cs="Times New Roman"/>
        </w:rPr>
        <w:t xml:space="preserve"> </w:t>
      </w:r>
      <w:r w:rsidR="0E8C67CD" w:rsidRPr="001C2B22">
        <w:rPr>
          <w:rFonts w:cs="Times New Roman"/>
        </w:rPr>
        <w:t>examine</w:t>
      </w:r>
      <w:r w:rsidR="6CAD8D7B" w:rsidRPr="001C2B22">
        <w:rPr>
          <w:rFonts w:cs="Times New Roman"/>
        </w:rPr>
        <w:t xml:space="preserve"> </w:t>
      </w:r>
      <w:r w:rsidR="006D32DE">
        <w:rPr>
          <w:rFonts w:cs="Times New Roman"/>
        </w:rPr>
        <w:t xml:space="preserve">the legality of </w:t>
      </w:r>
      <w:r w:rsidR="61245128" w:rsidRPr="001C2B22">
        <w:rPr>
          <w:rFonts w:cs="Times New Roman"/>
        </w:rPr>
        <w:t>nondiscrimination obligations on social media firms</w:t>
      </w:r>
      <w:r w:rsidR="28392636" w:rsidRPr="001C2B22">
        <w:rPr>
          <w:rFonts w:cs="Times New Roman"/>
        </w:rPr>
        <w:t xml:space="preserve"> and other communications networks</w:t>
      </w:r>
      <w:r w:rsidR="61245128" w:rsidRPr="001C2B22">
        <w:rPr>
          <w:rFonts w:cs="Times New Roman"/>
        </w:rPr>
        <w:t>.</w:t>
      </w:r>
      <w:r w:rsidR="7ED482FB" w:rsidRPr="001C2B22">
        <w:rPr>
          <w:rFonts w:cs="Times New Roman"/>
        </w:rPr>
        <w:t xml:space="preserve"> </w:t>
      </w:r>
    </w:p>
    <w:p w14:paraId="1C84B89E" w14:textId="72D51FF9" w:rsidR="00EF3CF9" w:rsidRPr="00002D62" w:rsidRDefault="00002D62" w:rsidP="00002D62">
      <w:pPr>
        <w:pStyle w:val="Heading1"/>
        <w:numPr>
          <w:ilvl w:val="0"/>
          <w:numId w:val="5"/>
        </w:numPr>
      </w:pPr>
      <w:bookmarkStart w:id="1" w:name="_Toc164183607"/>
      <w:r w:rsidRPr="00002D62">
        <w:t xml:space="preserve">Response to </w:t>
      </w:r>
      <w:proofErr w:type="spellStart"/>
      <w:r w:rsidRPr="00002D62">
        <w:t>Spiwak</w:t>
      </w:r>
      <w:r w:rsidR="000B1906">
        <w:t>’</w:t>
      </w:r>
      <w:r w:rsidRPr="00002D62">
        <w:t>s</w:t>
      </w:r>
      <w:proofErr w:type="spellEnd"/>
      <w:r w:rsidRPr="00002D62">
        <w:t xml:space="preserve"> Article</w:t>
      </w:r>
      <w:bookmarkEnd w:id="1"/>
    </w:p>
    <w:p w14:paraId="0F2F0ACD" w14:textId="4CC890F2" w:rsidR="00EF3CF9" w:rsidRPr="00002D62" w:rsidRDefault="00002D62" w:rsidP="00002D62">
      <w:pPr>
        <w:pStyle w:val="Heading2"/>
        <w:numPr>
          <w:ilvl w:val="0"/>
          <w:numId w:val="6"/>
        </w:numPr>
      </w:pPr>
      <w:bookmarkStart w:id="2" w:name="_Toc164183608"/>
      <w:proofErr w:type="spellStart"/>
      <w:r>
        <w:t>NetChoice</w:t>
      </w:r>
      <w:proofErr w:type="spellEnd"/>
      <w:r>
        <w:t xml:space="preserve"> v. Paxton</w:t>
      </w:r>
      <w:bookmarkEnd w:id="2"/>
    </w:p>
    <w:p w14:paraId="7DEBDF22" w14:textId="0B7D2F50" w:rsidR="00E44353" w:rsidRPr="001C2B22" w:rsidRDefault="7ED482FB" w:rsidP="001C2B22">
      <w:pPr>
        <w:pStyle w:val="BodyText"/>
        <w:rPr>
          <w:rFonts w:cs="Times New Roman"/>
        </w:rPr>
      </w:pPr>
      <w:r w:rsidRPr="001C2B22">
        <w:rPr>
          <w:rFonts w:cs="Times New Roman"/>
        </w:rPr>
        <w:t>The argument</w:t>
      </w:r>
      <w:r w:rsidR="62CEEB0D" w:rsidRPr="001C2B22">
        <w:rPr>
          <w:rFonts w:cs="Times New Roman"/>
        </w:rPr>
        <w:t>s</w:t>
      </w:r>
      <w:r w:rsidRPr="001C2B22">
        <w:rPr>
          <w:rFonts w:cs="Times New Roman"/>
        </w:rPr>
        <w:t xml:space="preserve"> </w:t>
      </w:r>
      <w:r w:rsidRPr="001C2B22">
        <w:rPr>
          <w:rFonts w:cs="Times New Roman"/>
          <w:i/>
          <w:iCs/>
        </w:rPr>
        <w:t>Regulatory Implications</w:t>
      </w:r>
      <w:r w:rsidR="61245128" w:rsidRPr="001C2B22">
        <w:rPr>
          <w:rFonts w:cs="Times New Roman"/>
        </w:rPr>
        <w:t xml:space="preserve"> </w:t>
      </w:r>
      <w:r w:rsidR="41920962" w:rsidRPr="001C2B22">
        <w:rPr>
          <w:rFonts w:cs="Times New Roman"/>
        </w:rPr>
        <w:t>forwards</w:t>
      </w:r>
      <w:r w:rsidR="61245128" w:rsidRPr="001C2B22">
        <w:rPr>
          <w:rFonts w:cs="Times New Roman"/>
        </w:rPr>
        <w:t xml:space="preserve"> </w:t>
      </w:r>
      <w:r w:rsidRPr="001C2B22">
        <w:rPr>
          <w:rFonts w:cs="Times New Roman"/>
        </w:rPr>
        <w:t>ha</w:t>
      </w:r>
      <w:r w:rsidR="6764766B" w:rsidRPr="001C2B22">
        <w:rPr>
          <w:rFonts w:cs="Times New Roman"/>
        </w:rPr>
        <w:t>v</w:t>
      </w:r>
      <w:r w:rsidR="6AB335D2" w:rsidRPr="001C2B22">
        <w:rPr>
          <w:rFonts w:cs="Times New Roman"/>
        </w:rPr>
        <w:t>e</w:t>
      </w:r>
      <w:r w:rsidRPr="001C2B22">
        <w:rPr>
          <w:rFonts w:cs="Times New Roman"/>
        </w:rPr>
        <w:t xml:space="preserve"> obvious application</w:t>
      </w:r>
      <w:r w:rsidR="23FC5E10" w:rsidRPr="001C2B22">
        <w:rPr>
          <w:rFonts w:cs="Times New Roman"/>
        </w:rPr>
        <w:t>s</w:t>
      </w:r>
      <w:r w:rsidRPr="001C2B22">
        <w:rPr>
          <w:rFonts w:cs="Times New Roman"/>
        </w:rPr>
        <w:t xml:space="preserve"> to the Supreme Court</w:t>
      </w:r>
      <w:r w:rsidR="000B1906">
        <w:rPr>
          <w:rFonts w:cs="Times New Roman"/>
        </w:rPr>
        <w:t>’</w:t>
      </w:r>
      <w:r w:rsidRPr="001C2B22">
        <w:rPr>
          <w:rFonts w:cs="Times New Roman"/>
        </w:rPr>
        <w:t>s decision</w:t>
      </w:r>
      <w:r w:rsidR="3C5552CA" w:rsidRPr="001C2B22">
        <w:rPr>
          <w:rFonts w:cs="Times New Roman"/>
        </w:rPr>
        <w:t xml:space="preserve"> in </w:t>
      </w:r>
      <w:proofErr w:type="spellStart"/>
      <w:r w:rsidR="3C5552CA" w:rsidRPr="001C2B22">
        <w:rPr>
          <w:rFonts w:cs="Times New Roman"/>
          <w:i/>
          <w:iCs/>
        </w:rPr>
        <w:t>NetChoice</w:t>
      </w:r>
      <w:proofErr w:type="spellEnd"/>
      <w:r w:rsidR="3C5552CA" w:rsidRPr="001C2B22">
        <w:rPr>
          <w:rFonts w:cs="Times New Roman"/>
          <w:i/>
          <w:iCs/>
        </w:rPr>
        <w:t xml:space="preserve"> v. Paxton</w:t>
      </w:r>
      <w:r w:rsidRPr="001C2B22">
        <w:rPr>
          <w:rFonts w:cs="Times New Roman"/>
          <w:i/>
          <w:iCs/>
        </w:rPr>
        <w:t xml:space="preserve"> </w:t>
      </w:r>
      <w:r w:rsidRPr="001C2B22">
        <w:rPr>
          <w:rFonts w:cs="Times New Roman"/>
        </w:rPr>
        <w:t>expected this year</w:t>
      </w:r>
      <w:r w:rsidR="3C5552CA" w:rsidRPr="001C2B22">
        <w:rPr>
          <w:rFonts w:cs="Times New Roman"/>
        </w:rPr>
        <w:t>.</w:t>
      </w:r>
      <w:r w:rsidR="00F3159A" w:rsidRPr="001C2B22">
        <w:rPr>
          <w:rStyle w:val="FootnoteReference"/>
          <w:rFonts w:cs="Times New Roman"/>
        </w:rPr>
        <w:footnoteReference w:id="5"/>
      </w:r>
      <w:r w:rsidR="3C5552CA" w:rsidRPr="001C2B22">
        <w:rPr>
          <w:rFonts w:cs="Times New Roman"/>
        </w:rPr>
        <w:t xml:space="preserve"> </w:t>
      </w:r>
      <w:r w:rsidR="61245128" w:rsidRPr="001C2B22">
        <w:rPr>
          <w:rFonts w:cs="Times New Roman"/>
        </w:rPr>
        <w:t xml:space="preserve">This case will </w:t>
      </w:r>
      <w:r w:rsidR="2826E259" w:rsidRPr="001C2B22">
        <w:rPr>
          <w:rFonts w:cs="Times New Roman"/>
        </w:rPr>
        <w:t>review the constitutionality of</w:t>
      </w:r>
      <w:r w:rsidR="2F6B523D" w:rsidRPr="001C2B22">
        <w:rPr>
          <w:rFonts w:cs="Times New Roman"/>
        </w:rPr>
        <w:t xml:space="preserve"> H.B. 20, a Texas state law that requires the </w:t>
      </w:r>
      <w:r w:rsidR="23FC5E10" w:rsidRPr="001C2B22">
        <w:rPr>
          <w:rFonts w:cs="Times New Roman"/>
        </w:rPr>
        <w:t xml:space="preserve">dominant </w:t>
      </w:r>
      <w:r w:rsidR="2F6B523D" w:rsidRPr="001C2B22">
        <w:rPr>
          <w:rFonts w:cs="Times New Roman"/>
        </w:rPr>
        <w:t>social media companies to refrain from viewpoint discrimination</w:t>
      </w:r>
      <w:r w:rsidR="23FC5E10" w:rsidRPr="001C2B22">
        <w:rPr>
          <w:rFonts w:cs="Times New Roman"/>
        </w:rPr>
        <w:t>, applying a common carrier type non-discrimination requirement that telephones, telegraphs, and airlines currently work under</w:t>
      </w:r>
      <w:r w:rsidR="2F6B523D" w:rsidRPr="001C2B22">
        <w:rPr>
          <w:rFonts w:cs="Times New Roman"/>
        </w:rPr>
        <w:t>.</w:t>
      </w:r>
      <w:r w:rsidR="61245128" w:rsidRPr="001C2B22">
        <w:rPr>
          <w:rFonts w:cs="Times New Roman"/>
        </w:rPr>
        <w:t xml:space="preserve"> </w:t>
      </w:r>
      <w:r w:rsidR="6764766B" w:rsidRPr="001C2B22">
        <w:rPr>
          <w:rFonts w:cs="Times New Roman"/>
        </w:rPr>
        <w:t>Given the importance of the case, I asked the editors for an opportunity to respond to the critique, and they kindly agreed.</w:t>
      </w:r>
    </w:p>
    <w:p w14:paraId="289397AA" w14:textId="24BD668A" w:rsidR="007B07D3" w:rsidRPr="001C2B22" w:rsidRDefault="56CB7D23" w:rsidP="0078292B">
      <w:pPr>
        <w:pStyle w:val="BodyText"/>
        <w:rPr>
          <w:rFonts w:cs="Times New Roman"/>
        </w:rPr>
      </w:pPr>
      <w:r w:rsidRPr="001C2B22">
        <w:rPr>
          <w:rFonts w:cs="Times New Roman"/>
        </w:rPr>
        <w:t>My article</w:t>
      </w:r>
      <w:r w:rsidR="41920962" w:rsidRPr="001C2B22">
        <w:rPr>
          <w:rFonts w:cs="Times New Roman"/>
        </w:rPr>
        <w:t xml:space="preserve">, </w:t>
      </w:r>
      <w:r w:rsidR="41920962" w:rsidRPr="001C2B22">
        <w:rPr>
          <w:rFonts w:cs="Times New Roman"/>
          <w:i/>
          <w:iCs/>
        </w:rPr>
        <w:t>Bargaining for Free Speech: Common Carriage, Network Neutrality, and Section 230</w:t>
      </w:r>
      <w:r w:rsidR="41920962" w:rsidRPr="001C2B22">
        <w:rPr>
          <w:rFonts w:cs="Times New Roman"/>
        </w:rPr>
        <w:t xml:space="preserve"> (</w:t>
      </w:r>
      <w:r w:rsidR="000B1906">
        <w:rPr>
          <w:rFonts w:cs="Times New Roman"/>
        </w:rPr>
        <w:t>“</w:t>
      </w:r>
      <w:r w:rsidR="41920962" w:rsidRPr="001C2B22">
        <w:rPr>
          <w:rFonts w:cs="Times New Roman"/>
        </w:rPr>
        <w:t>Bargaining for Free Speech</w:t>
      </w:r>
      <w:r w:rsidR="000B1906">
        <w:rPr>
          <w:rFonts w:cs="Times New Roman"/>
        </w:rPr>
        <w:t>”</w:t>
      </w:r>
      <w:r w:rsidR="41920962" w:rsidRPr="001C2B22">
        <w:rPr>
          <w:rFonts w:cs="Times New Roman"/>
        </w:rPr>
        <w:t>)</w:t>
      </w:r>
      <w:r w:rsidR="28392636" w:rsidRPr="001C2B22">
        <w:rPr>
          <w:rFonts w:cs="Times New Roman"/>
        </w:rPr>
        <w:t>,</w:t>
      </w:r>
      <w:r w:rsidRPr="001C2B22">
        <w:rPr>
          <w:rFonts w:cs="Times New Roman"/>
        </w:rPr>
        <w:t xml:space="preserve"> points</w:t>
      </w:r>
      <w:r w:rsidR="41920962" w:rsidRPr="001C2B22">
        <w:rPr>
          <w:rFonts w:cs="Times New Roman"/>
        </w:rPr>
        <w:t xml:space="preserve"> </w:t>
      </w:r>
      <w:r w:rsidRPr="001C2B22">
        <w:rPr>
          <w:rFonts w:cs="Times New Roman"/>
        </w:rPr>
        <w:t>out</w:t>
      </w:r>
      <w:r w:rsidR="0007335C">
        <w:rPr>
          <w:rFonts w:cs="Times New Roman"/>
        </w:rPr>
        <w:t xml:space="preserve"> </w:t>
      </w:r>
      <w:r w:rsidRPr="001C2B22">
        <w:rPr>
          <w:rFonts w:cs="Times New Roman"/>
        </w:rPr>
        <w:t>that communications law and regulation, in a broad sense, grant</w:t>
      </w:r>
      <w:r w:rsidR="2EB5A131" w:rsidRPr="001C2B22">
        <w:rPr>
          <w:rFonts w:cs="Times New Roman"/>
        </w:rPr>
        <w:t>s</w:t>
      </w:r>
      <w:r w:rsidRPr="001C2B22">
        <w:rPr>
          <w:rFonts w:cs="Times New Roman"/>
        </w:rPr>
        <w:t xml:space="preserve"> certain privileges, particularly toleration of </w:t>
      </w:r>
      <w:r w:rsidR="00F85D2F" w:rsidRPr="001C2B22">
        <w:rPr>
          <w:rFonts w:cs="Times New Roman"/>
        </w:rPr>
        <w:t>monopoly</w:t>
      </w:r>
      <w:r w:rsidRPr="001C2B22">
        <w:rPr>
          <w:rFonts w:cs="Times New Roman"/>
        </w:rPr>
        <w:t>,</w:t>
      </w:r>
      <w:r w:rsidR="006D32DE">
        <w:rPr>
          <w:rFonts w:cs="Times New Roman"/>
        </w:rPr>
        <w:t xml:space="preserve"> </w:t>
      </w:r>
      <w:r w:rsidRPr="001C2B22">
        <w:rPr>
          <w:rFonts w:cs="Times New Roman"/>
        </w:rPr>
        <w:t>in exchange for non-discrimination obligations or liability protections.</w:t>
      </w:r>
      <w:r w:rsidR="00F3159A" w:rsidRPr="001C2B22">
        <w:rPr>
          <w:rStyle w:val="FootnoteReference"/>
          <w:rFonts w:cs="Times New Roman"/>
        </w:rPr>
        <w:footnoteReference w:id="6"/>
      </w:r>
      <w:r w:rsidR="00C96280">
        <w:rPr>
          <w:rFonts w:cs="Times New Roman"/>
        </w:rPr>
        <w:t xml:space="preserve"> </w:t>
      </w:r>
      <w:r w:rsidRPr="001C2B22">
        <w:rPr>
          <w:rFonts w:cs="Times New Roman"/>
        </w:rPr>
        <w:t xml:space="preserve">I contrasted that </w:t>
      </w:r>
      <w:r w:rsidR="000B1906">
        <w:rPr>
          <w:rFonts w:cs="Times New Roman"/>
        </w:rPr>
        <w:t>“</w:t>
      </w:r>
      <w:r w:rsidRPr="001C2B22">
        <w:rPr>
          <w:rFonts w:cs="Times New Roman"/>
        </w:rPr>
        <w:t>deal</w:t>
      </w:r>
      <w:r w:rsidR="000B1906">
        <w:rPr>
          <w:rFonts w:cs="Times New Roman"/>
        </w:rPr>
        <w:t>”</w:t>
      </w:r>
      <w:r w:rsidRPr="001C2B22">
        <w:rPr>
          <w:rFonts w:cs="Times New Roman"/>
        </w:rPr>
        <w:t xml:space="preserve"> with Section 230 of the Communications Act of 1934, which </w:t>
      </w:r>
      <w:r w:rsidR="4A588EF7" w:rsidRPr="001C2B22">
        <w:rPr>
          <w:rFonts w:cs="Times New Roman"/>
        </w:rPr>
        <w:t>gives</w:t>
      </w:r>
      <w:r w:rsidRPr="001C2B22">
        <w:rPr>
          <w:rFonts w:cs="Times New Roman"/>
        </w:rPr>
        <w:t xml:space="preserve"> </w:t>
      </w:r>
      <w:r w:rsidR="00E41B64">
        <w:rPr>
          <w:rFonts w:cs="Times New Roman"/>
        </w:rPr>
        <w:t>I</w:t>
      </w:r>
      <w:r w:rsidR="4A588EF7" w:rsidRPr="001C2B22">
        <w:rPr>
          <w:rFonts w:cs="Times New Roman"/>
        </w:rPr>
        <w:t xml:space="preserve">nternet platforms, including the dominant social media firms, </w:t>
      </w:r>
      <w:r w:rsidR="28392636" w:rsidRPr="001C2B22">
        <w:rPr>
          <w:rFonts w:cs="Times New Roman"/>
        </w:rPr>
        <w:t>big</w:t>
      </w:r>
      <w:r w:rsidRPr="001C2B22">
        <w:rPr>
          <w:rFonts w:cs="Times New Roman"/>
        </w:rPr>
        <w:t xml:space="preserve"> carrot</w:t>
      </w:r>
      <w:r w:rsidR="28392636" w:rsidRPr="001C2B22">
        <w:rPr>
          <w:rFonts w:cs="Times New Roman"/>
        </w:rPr>
        <w:t>s</w:t>
      </w:r>
      <w:r w:rsidRPr="001C2B22">
        <w:rPr>
          <w:rFonts w:cs="Times New Roman"/>
        </w:rPr>
        <w:t xml:space="preserve"> </w:t>
      </w:r>
      <w:r w:rsidR="6764766B" w:rsidRPr="001C2B22">
        <w:rPr>
          <w:rFonts w:cs="Times New Roman"/>
        </w:rPr>
        <w:t>but</w:t>
      </w:r>
      <w:r w:rsidRPr="001C2B22">
        <w:rPr>
          <w:rFonts w:cs="Times New Roman"/>
        </w:rPr>
        <w:t xml:space="preserve"> no stick</w:t>
      </w:r>
      <w:r w:rsidR="28392636" w:rsidRPr="001C2B22">
        <w:rPr>
          <w:rFonts w:cs="Times New Roman"/>
        </w:rPr>
        <w:t>s</w:t>
      </w:r>
      <w:r w:rsidRPr="001C2B22">
        <w:rPr>
          <w:rFonts w:cs="Times New Roman"/>
        </w:rPr>
        <w:t xml:space="preserve">, relieving the </w:t>
      </w:r>
      <w:r w:rsidR="00E41B64">
        <w:rPr>
          <w:rFonts w:cs="Times New Roman"/>
        </w:rPr>
        <w:t>I</w:t>
      </w:r>
      <w:r w:rsidRPr="001C2B22">
        <w:rPr>
          <w:rFonts w:cs="Times New Roman"/>
        </w:rPr>
        <w:t>nternet platforms of liability in exchange for no corresponding public benefit, such a</w:t>
      </w:r>
      <w:r w:rsidR="29EE7112" w:rsidRPr="001C2B22">
        <w:rPr>
          <w:rFonts w:cs="Times New Roman"/>
        </w:rPr>
        <w:t>s</w:t>
      </w:r>
      <w:r w:rsidRPr="001C2B22">
        <w:rPr>
          <w:rFonts w:cs="Times New Roman"/>
        </w:rPr>
        <w:t xml:space="preserve"> non-discriminati</w:t>
      </w:r>
      <w:r w:rsidR="0007335C">
        <w:rPr>
          <w:rFonts w:cs="Times New Roman"/>
        </w:rPr>
        <w:t xml:space="preserve">on </w:t>
      </w:r>
      <w:r w:rsidR="2EB5A131" w:rsidRPr="001C2B22">
        <w:rPr>
          <w:rFonts w:cs="Times New Roman"/>
        </w:rPr>
        <w:t>obligations</w:t>
      </w:r>
      <w:r w:rsidRPr="001C2B22">
        <w:rPr>
          <w:rFonts w:cs="Times New Roman"/>
        </w:rPr>
        <w:t>.</w:t>
      </w:r>
      <w:r w:rsidR="00F3159A" w:rsidRPr="001C2B22">
        <w:rPr>
          <w:rStyle w:val="FootnoteReference"/>
          <w:rFonts w:cs="Times New Roman"/>
        </w:rPr>
        <w:footnoteReference w:id="7"/>
      </w:r>
      <w:r w:rsidRPr="001C2B22">
        <w:rPr>
          <w:rFonts w:cs="Times New Roman"/>
        </w:rPr>
        <w:t xml:space="preserve"> </w:t>
      </w:r>
      <w:r w:rsidR="41920962" w:rsidRPr="001C2B22">
        <w:rPr>
          <w:rFonts w:cs="Times New Roman"/>
        </w:rPr>
        <w:t>Although written years before its passage</w:t>
      </w:r>
      <w:r w:rsidR="23FC5E10" w:rsidRPr="001C2B22">
        <w:rPr>
          <w:rFonts w:cs="Times New Roman"/>
        </w:rPr>
        <w:t xml:space="preserve">, </w:t>
      </w:r>
      <w:r w:rsidR="41920962" w:rsidRPr="001C2B22">
        <w:rPr>
          <w:rFonts w:cs="Times New Roman"/>
        </w:rPr>
        <w:t xml:space="preserve">the article shows that </w:t>
      </w:r>
      <w:r w:rsidR="28392636" w:rsidRPr="001C2B22">
        <w:rPr>
          <w:rFonts w:cs="Times New Roman"/>
        </w:rPr>
        <w:t>Texas</w:t>
      </w:r>
      <w:r w:rsidR="000B1906">
        <w:rPr>
          <w:rFonts w:cs="Times New Roman"/>
        </w:rPr>
        <w:t>’</w:t>
      </w:r>
      <w:r w:rsidR="28392636" w:rsidRPr="001C2B22">
        <w:rPr>
          <w:rFonts w:cs="Times New Roman"/>
        </w:rPr>
        <w:t xml:space="preserve">s </w:t>
      </w:r>
      <w:r w:rsidR="23FC5E10" w:rsidRPr="001C2B22">
        <w:rPr>
          <w:rFonts w:cs="Times New Roman"/>
        </w:rPr>
        <w:t xml:space="preserve">H.B. </w:t>
      </w:r>
      <w:r w:rsidR="23FC5E10" w:rsidRPr="001C2B22">
        <w:rPr>
          <w:rFonts w:cs="Times New Roman"/>
        </w:rPr>
        <w:lastRenderedPageBreak/>
        <w:t>20 is very much in the tradition of common carrier communications regulation</w:t>
      </w:r>
      <w:r w:rsidR="6764766B" w:rsidRPr="001C2B22">
        <w:rPr>
          <w:rFonts w:cs="Times New Roman"/>
        </w:rPr>
        <w:t xml:space="preserve"> in </w:t>
      </w:r>
      <w:r w:rsidR="29EE7112" w:rsidRPr="001C2B22">
        <w:rPr>
          <w:rFonts w:cs="Times New Roman"/>
        </w:rPr>
        <w:t>imposing</w:t>
      </w:r>
      <w:r w:rsidR="6764766B" w:rsidRPr="001C2B22">
        <w:rPr>
          <w:rFonts w:cs="Times New Roman"/>
        </w:rPr>
        <w:t xml:space="preserve"> non-discrimination obligation</w:t>
      </w:r>
      <w:r w:rsidR="29EE7112" w:rsidRPr="001C2B22">
        <w:rPr>
          <w:rFonts w:cs="Times New Roman"/>
        </w:rPr>
        <w:t>s.</w:t>
      </w:r>
    </w:p>
    <w:p w14:paraId="61DEA96B" w14:textId="33BE6D8D" w:rsidR="00AD43F7" w:rsidRPr="001C2B22" w:rsidRDefault="0039C4DD" w:rsidP="001C2B22">
      <w:pPr>
        <w:pStyle w:val="BodyText"/>
        <w:rPr>
          <w:rFonts w:cs="Times New Roman"/>
        </w:rPr>
      </w:pPr>
      <w:r w:rsidRPr="001C2B22">
        <w:rPr>
          <w:rFonts w:cs="Times New Roman"/>
        </w:rPr>
        <w:t xml:space="preserve">Rather than respond to </w:t>
      </w:r>
      <w:r w:rsidR="6CAD8D7B" w:rsidRPr="001C2B22">
        <w:rPr>
          <w:rFonts w:cs="Times New Roman"/>
        </w:rPr>
        <w:t xml:space="preserve">this </w:t>
      </w:r>
      <w:r w:rsidRPr="001C2B22">
        <w:rPr>
          <w:rFonts w:cs="Times New Roman"/>
        </w:rPr>
        <w:t>straightforward argument,</w:t>
      </w:r>
      <w:r w:rsidR="7ED482FB" w:rsidRPr="001C2B22">
        <w:rPr>
          <w:rFonts w:cs="Times New Roman"/>
        </w:rPr>
        <w:t xml:space="preserve"> </w:t>
      </w:r>
      <w:r w:rsidR="7ED482FB" w:rsidRPr="001C2B22">
        <w:rPr>
          <w:rFonts w:cs="Times New Roman"/>
          <w:i/>
          <w:iCs/>
        </w:rPr>
        <w:t>Regulatory Implications</w:t>
      </w:r>
      <w:r w:rsidR="7ED482FB" w:rsidRPr="001C2B22">
        <w:rPr>
          <w:rFonts w:cs="Times New Roman"/>
        </w:rPr>
        <w:t xml:space="preserve"> </w:t>
      </w:r>
      <w:r w:rsidR="070690E5" w:rsidRPr="001C2B22">
        <w:rPr>
          <w:rFonts w:cs="Times New Roman"/>
        </w:rPr>
        <w:t xml:space="preserve">creates a strawman: my article supports public </w:t>
      </w:r>
      <w:r w:rsidR="0386BA4A" w:rsidRPr="001C2B22">
        <w:rPr>
          <w:rFonts w:cs="Times New Roman"/>
        </w:rPr>
        <w:t>utility</w:t>
      </w:r>
      <w:r w:rsidR="070690E5" w:rsidRPr="001C2B22">
        <w:rPr>
          <w:rFonts w:cs="Times New Roman"/>
        </w:rPr>
        <w:t xml:space="preserve"> regulation for the </w:t>
      </w:r>
      <w:r w:rsidR="00E41B64">
        <w:rPr>
          <w:rFonts w:cs="Times New Roman"/>
        </w:rPr>
        <w:t>I</w:t>
      </w:r>
      <w:r w:rsidR="070690E5" w:rsidRPr="001C2B22">
        <w:rPr>
          <w:rFonts w:cs="Times New Roman"/>
        </w:rPr>
        <w:t>nternet or social medi</w:t>
      </w:r>
      <w:r w:rsidR="6146C6A7" w:rsidRPr="001C2B22">
        <w:rPr>
          <w:rFonts w:cs="Times New Roman"/>
        </w:rPr>
        <w:t>a</w:t>
      </w:r>
      <w:proofErr w:type="gramStart"/>
      <w:r w:rsidR="070690E5" w:rsidRPr="001C2B22">
        <w:rPr>
          <w:rFonts w:cs="Times New Roman"/>
        </w:rPr>
        <w:t>.</w:t>
      </w:r>
      <w:r w:rsidR="08957A45" w:rsidRPr="001C2B22">
        <w:rPr>
          <w:rFonts w:cs="Times New Roman"/>
        </w:rPr>
        <w:t xml:space="preserve"> </w:t>
      </w:r>
      <w:proofErr w:type="gramEnd"/>
      <w:r w:rsidR="41920962" w:rsidRPr="001C2B22">
        <w:rPr>
          <w:rFonts w:cs="Times New Roman"/>
        </w:rPr>
        <w:t>T</w:t>
      </w:r>
      <w:r w:rsidR="298247BE" w:rsidRPr="001C2B22">
        <w:rPr>
          <w:rFonts w:cs="Times New Roman"/>
        </w:rPr>
        <w:t xml:space="preserve">he article </w:t>
      </w:r>
      <w:r w:rsidR="0386BA4A" w:rsidRPr="001C2B22">
        <w:rPr>
          <w:rFonts w:cs="Times New Roman"/>
        </w:rPr>
        <w:t>states that</w:t>
      </w:r>
      <w:r w:rsidR="298247BE" w:rsidRPr="001C2B22">
        <w:rPr>
          <w:rFonts w:cs="Times New Roman"/>
        </w:rPr>
        <w:t xml:space="preserve"> it </w:t>
      </w:r>
      <w:r w:rsidR="000B1906">
        <w:rPr>
          <w:rFonts w:cs="Times New Roman"/>
        </w:rPr>
        <w:t>“</w:t>
      </w:r>
      <w:r w:rsidR="298247BE" w:rsidRPr="001C2B22">
        <w:rPr>
          <w:rFonts w:cs="Times New Roman"/>
        </w:rPr>
        <w:t xml:space="preserve">assume[s] </w:t>
      </w:r>
      <w:r w:rsidR="298247BE" w:rsidRPr="001C2B22">
        <w:rPr>
          <w:rFonts w:cs="Times New Roman"/>
          <w:i/>
          <w:iCs/>
          <w:bdr w:val="none" w:sz="0" w:space="0" w:color="auto" w:frame="1"/>
        </w:rPr>
        <w:t>arguendo</w:t>
      </w:r>
      <w:r w:rsidR="298247BE" w:rsidRPr="001C2B22">
        <w:rPr>
          <w:rFonts w:cs="Times New Roman"/>
        </w:rPr>
        <w:t xml:space="preserve"> [that]</w:t>
      </w:r>
      <w:r w:rsidR="00C96280">
        <w:rPr>
          <w:rFonts w:cs="Times New Roman"/>
        </w:rPr>
        <w:t xml:space="preserve"> </w:t>
      </w:r>
      <w:r w:rsidR="298247BE" w:rsidRPr="001C2B22">
        <w:rPr>
          <w:rFonts w:cs="Times New Roman"/>
        </w:rPr>
        <w:t>. . . .</w:t>
      </w:r>
      <w:r w:rsidR="6AB335D2" w:rsidRPr="001C2B22">
        <w:rPr>
          <w:rFonts w:cs="Times New Roman"/>
        </w:rPr>
        <w:t xml:space="preserve"> </w:t>
      </w:r>
      <w:r w:rsidR="298247BE" w:rsidRPr="001C2B22">
        <w:rPr>
          <w:rFonts w:cs="Times New Roman"/>
        </w:rPr>
        <w:t xml:space="preserve">calls for common carrier regulation of Internet platforms are, in fact, calls for public utility regulation similar to FCC regulation of telephone companies, </w:t>
      </w:r>
      <w:r w:rsidR="00197A14">
        <w:rPr>
          <w:rFonts w:cs="Times New Roman"/>
        </w:rPr>
        <w:t xml:space="preserve">[and asks] </w:t>
      </w:r>
      <w:r w:rsidR="298247BE" w:rsidRPr="001C2B22">
        <w:rPr>
          <w:rFonts w:cs="Times New Roman"/>
        </w:rPr>
        <w:t>then what would such a regulatory regime for Internet platforms look like . . . the purpose of this paper is to offer a few insights</w:t>
      </w:r>
      <w:r w:rsidR="000B1906">
        <w:rPr>
          <w:rFonts w:cs="Times New Roman"/>
        </w:rPr>
        <w:t>”</w:t>
      </w:r>
      <w:r w:rsidR="002C7951" w:rsidRPr="001C2B22">
        <w:rPr>
          <w:rStyle w:val="FootnoteReference"/>
          <w:rFonts w:cs="Times New Roman"/>
        </w:rPr>
        <w:footnoteReference w:id="8"/>
      </w:r>
      <w:r w:rsidR="22AFE2F9" w:rsidRPr="001C2B22">
        <w:rPr>
          <w:rFonts w:cs="Times New Roman"/>
        </w:rPr>
        <w:t xml:space="preserve"> </w:t>
      </w:r>
      <w:r w:rsidR="00900016">
        <w:rPr>
          <w:rFonts w:cs="Times New Roman"/>
        </w:rPr>
        <w:t>a</w:t>
      </w:r>
      <w:r w:rsidR="0386BA4A" w:rsidRPr="001C2B22">
        <w:rPr>
          <w:rFonts w:cs="Times New Roman"/>
        </w:rPr>
        <w:t xml:space="preserve">nd claims, that I </w:t>
      </w:r>
      <w:r w:rsidR="000B1906">
        <w:rPr>
          <w:rFonts w:cs="Times New Roman"/>
        </w:rPr>
        <w:t>“</w:t>
      </w:r>
      <w:r w:rsidR="0386BA4A" w:rsidRPr="001C2B22">
        <w:rPr>
          <w:rFonts w:cs="Times New Roman"/>
        </w:rPr>
        <w:t>sit squarely in the</w:t>
      </w:r>
      <w:r w:rsidR="1635CCF6" w:rsidRPr="001C2B22">
        <w:rPr>
          <w:rFonts w:cs="Times New Roman"/>
        </w:rPr>
        <w:t xml:space="preserve"> </w:t>
      </w:r>
      <w:r w:rsidR="0386BA4A" w:rsidRPr="001C2B22">
        <w:rPr>
          <w:rFonts w:cs="Times New Roman"/>
        </w:rPr>
        <w:t>public utility camp for platform regulation.</w:t>
      </w:r>
      <w:r w:rsidR="000B1906">
        <w:rPr>
          <w:rFonts w:cs="Times New Roman"/>
        </w:rPr>
        <w:t>”</w:t>
      </w:r>
      <w:r w:rsidR="00C4665A" w:rsidRPr="001C2B22">
        <w:rPr>
          <w:rStyle w:val="FootnoteReference"/>
          <w:rFonts w:cs="Times New Roman"/>
        </w:rPr>
        <w:footnoteReference w:id="9"/>
      </w:r>
      <w:r w:rsidR="0386BA4A" w:rsidRPr="001C2B22">
        <w:rPr>
          <w:rFonts w:cs="Times New Roman"/>
        </w:rPr>
        <w:t xml:space="preserve"> </w:t>
      </w:r>
    </w:p>
    <w:p w14:paraId="61F2D680" w14:textId="3FC365ED" w:rsidR="00714731" w:rsidRPr="001C2B22" w:rsidRDefault="12826D37" w:rsidP="001C2B22">
      <w:pPr>
        <w:pStyle w:val="BodyText"/>
        <w:rPr>
          <w:rFonts w:cs="Times New Roman"/>
        </w:rPr>
      </w:pPr>
      <w:proofErr w:type="gramStart"/>
      <w:r w:rsidRPr="001C2B22">
        <w:rPr>
          <w:rFonts w:cs="Times New Roman"/>
        </w:rPr>
        <w:t>T</w:t>
      </w:r>
      <w:r w:rsidR="41920962" w:rsidRPr="001C2B22">
        <w:rPr>
          <w:rFonts w:cs="Times New Roman"/>
        </w:rPr>
        <w:t>hat</w:t>
      </w:r>
      <w:r w:rsidR="000B1906">
        <w:rPr>
          <w:rFonts w:cs="Times New Roman"/>
        </w:rPr>
        <w:t>’</w:t>
      </w:r>
      <w:r w:rsidR="41920962" w:rsidRPr="001C2B22">
        <w:rPr>
          <w:rFonts w:cs="Times New Roman"/>
        </w:rPr>
        <w:t>s</w:t>
      </w:r>
      <w:proofErr w:type="gramEnd"/>
      <w:r w:rsidR="41920962" w:rsidRPr="001C2B22">
        <w:rPr>
          <w:rFonts w:cs="Times New Roman"/>
        </w:rPr>
        <w:t xml:space="preserve"> a false assumption</w:t>
      </w:r>
      <w:r w:rsidR="0386BA4A" w:rsidRPr="001C2B22">
        <w:rPr>
          <w:rFonts w:cs="Times New Roman"/>
        </w:rPr>
        <w:t xml:space="preserve"> and a false claim</w:t>
      </w:r>
      <w:r w:rsidR="41920962" w:rsidRPr="001C2B22">
        <w:rPr>
          <w:rFonts w:cs="Times New Roman"/>
        </w:rPr>
        <w:t xml:space="preserve">. </w:t>
      </w:r>
      <w:r w:rsidR="298247BE" w:rsidRPr="001C2B22">
        <w:rPr>
          <w:rFonts w:cs="Times New Roman"/>
        </w:rPr>
        <w:t>Public utility regulation</w:t>
      </w:r>
      <w:r w:rsidR="41920962" w:rsidRPr="001C2B22">
        <w:rPr>
          <w:rFonts w:cs="Times New Roman"/>
        </w:rPr>
        <w:t xml:space="preserve"> </w:t>
      </w:r>
      <w:r w:rsidR="298247BE" w:rsidRPr="001C2B22">
        <w:rPr>
          <w:rFonts w:cs="Times New Roman"/>
        </w:rPr>
        <w:t xml:space="preserve">is the economic regulation </w:t>
      </w:r>
      <w:r w:rsidR="41920962" w:rsidRPr="001C2B22">
        <w:rPr>
          <w:rFonts w:cs="Times New Roman"/>
        </w:rPr>
        <w:t xml:space="preserve">of </w:t>
      </w:r>
      <w:r w:rsidR="298247BE" w:rsidRPr="001C2B22">
        <w:rPr>
          <w:rFonts w:cs="Times New Roman"/>
        </w:rPr>
        <w:t xml:space="preserve">utilities, </w:t>
      </w:r>
      <w:r w:rsidR="6764766B" w:rsidRPr="001C2B22">
        <w:rPr>
          <w:rFonts w:cs="Times New Roman"/>
        </w:rPr>
        <w:t xml:space="preserve">such as electricity, gas, water, </w:t>
      </w:r>
      <w:r w:rsidR="29EE7112" w:rsidRPr="001C2B22">
        <w:rPr>
          <w:rFonts w:cs="Times New Roman"/>
        </w:rPr>
        <w:t>and sometimes telephones</w:t>
      </w:r>
      <w:r w:rsidR="07E038B1" w:rsidRPr="001C2B22">
        <w:rPr>
          <w:rFonts w:cs="Times New Roman"/>
        </w:rPr>
        <w:t xml:space="preserve"> </w:t>
      </w:r>
      <w:r w:rsidR="298247BE" w:rsidRPr="001C2B22">
        <w:rPr>
          <w:rFonts w:cs="Times New Roman"/>
        </w:rPr>
        <w:t>particular</w:t>
      </w:r>
      <w:r w:rsidR="6764766B" w:rsidRPr="001C2B22">
        <w:rPr>
          <w:rFonts w:cs="Times New Roman"/>
        </w:rPr>
        <w:t>ly</w:t>
      </w:r>
      <w:r w:rsidR="298247BE" w:rsidRPr="001C2B22">
        <w:rPr>
          <w:rFonts w:cs="Times New Roman"/>
        </w:rPr>
        <w:t xml:space="preserve"> </w:t>
      </w:r>
      <w:r w:rsidR="35A828B6" w:rsidRPr="001C2B22">
        <w:rPr>
          <w:rFonts w:cs="Times New Roman"/>
        </w:rPr>
        <w:t xml:space="preserve">their </w:t>
      </w:r>
      <w:r w:rsidR="6AB335D2" w:rsidRPr="001C2B22">
        <w:rPr>
          <w:rFonts w:cs="Times New Roman"/>
        </w:rPr>
        <w:t xml:space="preserve">consumer </w:t>
      </w:r>
      <w:r w:rsidR="298247BE" w:rsidRPr="001C2B22">
        <w:rPr>
          <w:rFonts w:cs="Times New Roman"/>
        </w:rPr>
        <w:t>pricing</w:t>
      </w:r>
      <w:r w:rsidR="6146C6A7" w:rsidRPr="001C2B22">
        <w:rPr>
          <w:rFonts w:cs="Times New Roman"/>
        </w:rPr>
        <w:t xml:space="preserve">, </w:t>
      </w:r>
      <w:r w:rsidR="001701B2">
        <w:rPr>
          <w:rFonts w:cs="Times New Roman"/>
        </w:rPr>
        <w:t>usually</w:t>
      </w:r>
      <w:r w:rsidR="001701B2" w:rsidRPr="001C2B22">
        <w:rPr>
          <w:rFonts w:cs="Times New Roman"/>
        </w:rPr>
        <w:t xml:space="preserve"> </w:t>
      </w:r>
      <w:r w:rsidR="6146C6A7" w:rsidRPr="001C2B22">
        <w:rPr>
          <w:rFonts w:cs="Times New Roman"/>
        </w:rPr>
        <w:t xml:space="preserve">assuming </w:t>
      </w:r>
      <w:r w:rsidR="00687C33" w:rsidRPr="001C2B22">
        <w:rPr>
          <w:rFonts w:cs="Times New Roman"/>
        </w:rPr>
        <w:t>that these services are a natural monopoly</w:t>
      </w:r>
      <w:r w:rsidR="298247BE" w:rsidRPr="001C2B22">
        <w:rPr>
          <w:rFonts w:cs="Times New Roman"/>
        </w:rPr>
        <w:t>.</w:t>
      </w:r>
      <w:r w:rsidR="00612BBA" w:rsidRPr="001C2B22">
        <w:rPr>
          <w:rStyle w:val="FootnoteReference"/>
          <w:rFonts w:cs="Times New Roman"/>
        </w:rPr>
        <w:footnoteReference w:id="10"/>
      </w:r>
      <w:r w:rsidR="298247BE" w:rsidRPr="001C2B22">
        <w:rPr>
          <w:rFonts w:cs="Times New Roman"/>
        </w:rPr>
        <w:t xml:space="preserve"> </w:t>
      </w:r>
      <w:r w:rsidR="41920962" w:rsidRPr="001C2B22">
        <w:rPr>
          <w:rFonts w:cs="Times New Roman"/>
        </w:rPr>
        <w:t xml:space="preserve">It </w:t>
      </w:r>
      <w:r w:rsidR="35A828B6" w:rsidRPr="001C2B22">
        <w:rPr>
          <w:rFonts w:cs="Times New Roman"/>
        </w:rPr>
        <w:t>typically</w:t>
      </w:r>
      <w:r w:rsidR="41920962" w:rsidRPr="001C2B22">
        <w:rPr>
          <w:rFonts w:cs="Times New Roman"/>
        </w:rPr>
        <w:t xml:space="preserve"> involves </w:t>
      </w:r>
      <w:r w:rsidR="0D941DD8" w:rsidRPr="001C2B22">
        <w:rPr>
          <w:rFonts w:cs="Times New Roman"/>
        </w:rPr>
        <w:t>comprehensive</w:t>
      </w:r>
      <w:r w:rsidR="41920962" w:rsidRPr="001C2B22">
        <w:rPr>
          <w:rFonts w:cs="Times New Roman"/>
        </w:rPr>
        <w:t xml:space="preserve"> rate and service regulation</w:t>
      </w:r>
      <w:proofErr w:type="gramStart"/>
      <w:r w:rsidR="41920962" w:rsidRPr="001C2B22">
        <w:rPr>
          <w:rFonts w:cs="Times New Roman"/>
        </w:rPr>
        <w:t xml:space="preserve">. </w:t>
      </w:r>
      <w:proofErr w:type="gramEnd"/>
      <w:r w:rsidR="41920962" w:rsidRPr="001C2B22">
        <w:rPr>
          <w:rFonts w:cs="Times New Roman"/>
        </w:rPr>
        <w:t>In contrast</w:t>
      </w:r>
      <w:r w:rsidRPr="001C2B22">
        <w:rPr>
          <w:rFonts w:cs="Times New Roman"/>
        </w:rPr>
        <w:t>,</w:t>
      </w:r>
      <w:r w:rsidR="41920962" w:rsidRPr="001C2B22">
        <w:rPr>
          <w:rFonts w:cs="Times New Roman"/>
        </w:rPr>
        <w:t xml:space="preserve"> </w:t>
      </w:r>
      <w:r w:rsidRPr="001C2B22">
        <w:rPr>
          <w:rFonts w:cs="Times New Roman"/>
        </w:rPr>
        <w:t>c</w:t>
      </w:r>
      <w:r w:rsidR="08957A45" w:rsidRPr="001C2B22">
        <w:rPr>
          <w:rFonts w:cs="Times New Roman"/>
        </w:rPr>
        <w:t>ommon carrier anti-discrimination requirements are judge-made rules with their origins in the late Middle Ages.</w:t>
      </w:r>
      <w:r w:rsidR="00612BBA" w:rsidRPr="001C2B22">
        <w:rPr>
          <w:rStyle w:val="FootnoteReference"/>
          <w:rFonts w:cs="Times New Roman"/>
        </w:rPr>
        <w:footnoteReference w:id="11"/>
      </w:r>
      <w:r w:rsidR="00C96280">
        <w:rPr>
          <w:rFonts w:cs="Times New Roman"/>
        </w:rPr>
        <w:t xml:space="preserve"> </w:t>
      </w:r>
      <w:r w:rsidR="08957A45" w:rsidRPr="001C2B22">
        <w:rPr>
          <w:rFonts w:cs="Times New Roman"/>
        </w:rPr>
        <w:t xml:space="preserve">Like their more modern cousins, public accommodation law, </w:t>
      </w:r>
      <w:r w:rsidR="08957A45" w:rsidRPr="001C2B22">
        <w:rPr>
          <w:rFonts w:cs="Times New Roman"/>
        </w:rPr>
        <w:lastRenderedPageBreak/>
        <w:t>these rules simply require business</w:t>
      </w:r>
      <w:r w:rsidR="004235F4">
        <w:rPr>
          <w:rFonts w:cs="Times New Roman"/>
        </w:rPr>
        <w:t>es</w:t>
      </w:r>
      <w:r w:rsidR="08957A45" w:rsidRPr="001C2B22">
        <w:rPr>
          <w:rFonts w:cs="Times New Roman"/>
        </w:rPr>
        <w:t xml:space="preserve"> to serve all comers </w:t>
      </w:r>
      <w:r w:rsidR="298247BE" w:rsidRPr="001C2B22">
        <w:rPr>
          <w:rFonts w:cs="Times New Roman"/>
        </w:rPr>
        <w:t>without discrimination.</w:t>
      </w:r>
      <w:r w:rsidR="00612BBA" w:rsidRPr="001C2B22">
        <w:rPr>
          <w:rStyle w:val="FootnoteReference"/>
          <w:rFonts w:cs="Times New Roman"/>
        </w:rPr>
        <w:footnoteReference w:id="12"/>
      </w:r>
      <w:r w:rsidR="298247BE" w:rsidRPr="001C2B22">
        <w:rPr>
          <w:rFonts w:cs="Times New Roman"/>
        </w:rPr>
        <w:t xml:space="preserve"> Most retail businesses today </w:t>
      </w:r>
      <w:proofErr w:type="gramStart"/>
      <w:r w:rsidR="298247BE" w:rsidRPr="001C2B22">
        <w:rPr>
          <w:rFonts w:cs="Times New Roman"/>
        </w:rPr>
        <w:t>operate</w:t>
      </w:r>
      <w:proofErr w:type="gramEnd"/>
      <w:r w:rsidR="298247BE" w:rsidRPr="001C2B22">
        <w:rPr>
          <w:rFonts w:cs="Times New Roman"/>
        </w:rPr>
        <w:t xml:space="preserve"> under such mandates</w:t>
      </w:r>
      <w:r w:rsidR="08957A45" w:rsidRPr="001C2B22">
        <w:rPr>
          <w:rFonts w:cs="Times New Roman"/>
        </w:rPr>
        <w:t>.</w:t>
      </w:r>
      <w:r w:rsidR="298247BE" w:rsidRPr="001C2B22">
        <w:rPr>
          <w:rFonts w:cs="Times New Roman"/>
        </w:rPr>
        <w:t xml:space="preserve"> </w:t>
      </w:r>
    </w:p>
    <w:p w14:paraId="3078B2C3" w14:textId="4613AFC9" w:rsidR="00C8139F" w:rsidRPr="001C2B22" w:rsidRDefault="00714731" w:rsidP="001C2B22">
      <w:pPr>
        <w:pStyle w:val="BodyText"/>
        <w:rPr>
          <w:rFonts w:cs="Times New Roman"/>
        </w:rPr>
      </w:pPr>
      <w:r w:rsidRPr="001C2B22">
        <w:rPr>
          <w:rFonts w:cs="Times New Roman"/>
        </w:rPr>
        <w:t>As</w:t>
      </w:r>
      <w:r w:rsidR="002C7951" w:rsidRPr="001C2B22">
        <w:rPr>
          <w:rFonts w:cs="Times New Roman"/>
        </w:rPr>
        <w:t xml:space="preserve"> the title of my article makes clear, it was talking about common carrier law</w:t>
      </w:r>
      <w:r w:rsidR="00140650" w:rsidRPr="001C2B22">
        <w:rPr>
          <w:rFonts w:cs="Times New Roman"/>
        </w:rPr>
        <w:t>, which is historically administered by courts</w:t>
      </w:r>
      <w:proofErr w:type="gramStart"/>
      <w:r w:rsidR="00140650" w:rsidRPr="001C2B22">
        <w:rPr>
          <w:rFonts w:cs="Times New Roman"/>
        </w:rPr>
        <w:t>.</w:t>
      </w:r>
      <w:r w:rsidR="00906F93" w:rsidRPr="001C2B22">
        <w:rPr>
          <w:rFonts w:cs="Times New Roman"/>
        </w:rPr>
        <w:t xml:space="preserve"> </w:t>
      </w:r>
      <w:proofErr w:type="gramEnd"/>
      <w:r w:rsidR="00F269D5" w:rsidRPr="001C2B22">
        <w:rPr>
          <w:rFonts w:cs="Times New Roman"/>
        </w:rPr>
        <w:t xml:space="preserve">The article </w:t>
      </w:r>
      <w:r w:rsidR="00F269D5" w:rsidRPr="001C2B22">
        <w:rPr>
          <w:rFonts w:cs="Times New Roman"/>
          <w:i/>
          <w:iCs/>
        </w:rPr>
        <w:t>never discusses public utility law at all</w:t>
      </w:r>
      <w:r w:rsidR="00FE1D43">
        <w:rPr>
          <w:rFonts w:cs="Times New Roman"/>
        </w:rPr>
        <w:t>, and any reading otherwise misinterprets my article</w:t>
      </w:r>
      <w:proofErr w:type="gramStart"/>
      <w:r w:rsidR="00F269D5" w:rsidRPr="001C2B22">
        <w:rPr>
          <w:rFonts w:cs="Times New Roman"/>
          <w:i/>
          <w:iCs/>
        </w:rPr>
        <w:t xml:space="preserve">. </w:t>
      </w:r>
      <w:proofErr w:type="gramEnd"/>
      <w:r w:rsidR="00906F93" w:rsidRPr="001C2B22">
        <w:rPr>
          <w:rFonts w:cs="Times New Roman"/>
        </w:rPr>
        <w:t xml:space="preserve">Further, it is </w:t>
      </w:r>
      <w:r w:rsidR="00F610AC">
        <w:rPr>
          <w:rFonts w:cs="Times New Roman"/>
        </w:rPr>
        <w:t xml:space="preserve">a </w:t>
      </w:r>
      <w:r w:rsidR="00906F93" w:rsidRPr="001C2B22">
        <w:rPr>
          <w:rFonts w:cs="Times New Roman"/>
        </w:rPr>
        <w:t xml:space="preserve">common </w:t>
      </w:r>
      <w:r w:rsidR="00BB7CB2" w:rsidRPr="001C2B22">
        <w:rPr>
          <w:rFonts w:cs="Times New Roman"/>
        </w:rPr>
        <w:t xml:space="preserve">misconception </w:t>
      </w:r>
      <w:r w:rsidR="00C4665A" w:rsidRPr="001C2B22">
        <w:rPr>
          <w:rFonts w:cs="Times New Roman"/>
        </w:rPr>
        <w:t>that Title II of the</w:t>
      </w:r>
      <w:r w:rsidR="00906F93" w:rsidRPr="001C2B22">
        <w:rPr>
          <w:rFonts w:cs="Times New Roman"/>
        </w:rPr>
        <w:t xml:space="preserve"> Communications Act of 1934 embraces a </w:t>
      </w:r>
      <w:r w:rsidR="00C4665A" w:rsidRPr="001C2B22">
        <w:rPr>
          <w:rFonts w:cs="Times New Roman"/>
        </w:rPr>
        <w:t xml:space="preserve">comprehensive </w:t>
      </w:r>
      <w:r w:rsidR="00906F93" w:rsidRPr="001C2B22">
        <w:rPr>
          <w:rFonts w:cs="Times New Roman"/>
        </w:rPr>
        <w:t>public utility model</w:t>
      </w:r>
      <w:r w:rsidR="006C05F4" w:rsidRPr="001C2B22">
        <w:rPr>
          <w:rFonts w:cs="Times New Roman"/>
        </w:rPr>
        <w:t>; it is at best partial</w:t>
      </w:r>
      <w:r w:rsidR="00906F93" w:rsidRPr="001C2B22">
        <w:rPr>
          <w:rFonts w:cs="Times New Roman"/>
        </w:rPr>
        <w:t>.</w:t>
      </w:r>
      <w:r w:rsidR="00906F93" w:rsidRPr="001C2B22">
        <w:rPr>
          <w:rStyle w:val="FootnoteReference"/>
          <w:rFonts w:cs="Times New Roman"/>
        </w:rPr>
        <w:footnoteReference w:id="13"/>
      </w:r>
      <w:r w:rsidR="00BB7CB2" w:rsidRPr="001C2B22">
        <w:rPr>
          <w:rFonts w:cs="Times New Roman"/>
        </w:rPr>
        <w:t xml:space="preserve"> </w:t>
      </w:r>
      <w:r w:rsidR="00BB7CB2" w:rsidRPr="001C2B22">
        <w:rPr>
          <w:rFonts w:cs="Times New Roman"/>
          <w:i/>
          <w:iCs/>
        </w:rPr>
        <w:t xml:space="preserve">Regulatory Implications </w:t>
      </w:r>
      <w:proofErr w:type="gramStart"/>
      <w:r w:rsidR="00BB7CB2" w:rsidRPr="001C2B22">
        <w:rPr>
          <w:rFonts w:cs="Times New Roman"/>
        </w:rPr>
        <w:t>appears to adopt</w:t>
      </w:r>
      <w:proofErr w:type="gramEnd"/>
      <w:r w:rsidR="00BB7CB2" w:rsidRPr="001C2B22">
        <w:rPr>
          <w:rFonts w:cs="Times New Roman"/>
        </w:rPr>
        <w:t xml:space="preserve"> thi</w:t>
      </w:r>
      <w:r w:rsidRPr="001C2B22">
        <w:rPr>
          <w:rFonts w:cs="Times New Roman"/>
        </w:rPr>
        <w:t>s</w:t>
      </w:r>
      <w:r w:rsidR="00BB7CB2" w:rsidRPr="001C2B22">
        <w:rPr>
          <w:rFonts w:cs="Times New Roman"/>
        </w:rPr>
        <w:t xml:space="preserve"> view in its discussion of Section</w:t>
      </w:r>
      <w:r w:rsidR="004235F4">
        <w:rPr>
          <w:rFonts w:cs="Times New Roman"/>
        </w:rPr>
        <w:t>s</w:t>
      </w:r>
      <w:r w:rsidR="00BB7CB2" w:rsidRPr="001C2B22">
        <w:rPr>
          <w:rFonts w:cs="Times New Roman"/>
        </w:rPr>
        <w:t xml:space="preserve"> 201, 202, and 203 of the Act. </w:t>
      </w:r>
      <w:proofErr w:type="gramStart"/>
      <w:r w:rsidR="00BB7CB2" w:rsidRPr="001C2B22">
        <w:rPr>
          <w:rFonts w:cs="Times New Roman"/>
        </w:rPr>
        <w:t>But,</w:t>
      </w:r>
      <w:proofErr w:type="gramEnd"/>
      <w:r w:rsidR="00BB7CB2" w:rsidRPr="001C2B22">
        <w:rPr>
          <w:rFonts w:cs="Times New Roman"/>
        </w:rPr>
        <w:t xml:space="preserve"> the Communications Act of 1934</w:t>
      </w:r>
      <w:r w:rsidR="00906F93" w:rsidRPr="001C2B22">
        <w:rPr>
          <w:rFonts w:cs="Times New Roman"/>
        </w:rPr>
        <w:t xml:space="preserve"> does no</w:t>
      </w:r>
      <w:r w:rsidR="00F269D5" w:rsidRPr="001C2B22">
        <w:rPr>
          <w:rFonts w:cs="Times New Roman"/>
        </w:rPr>
        <w:t>t</w:t>
      </w:r>
      <w:r w:rsidR="00C4665A" w:rsidRPr="001C2B22">
        <w:rPr>
          <w:rFonts w:cs="Times New Roman"/>
        </w:rPr>
        <w:t xml:space="preserve">; it regulates </w:t>
      </w:r>
      <w:r w:rsidR="000B1906">
        <w:rPr>
          <w:rFonts w:cs="Times New Roman"/>
        </w:rPr>
        <w:t>“</w:t>
      </w:r>
      <w:r w:rsidR="00C4665A" w:rsidRPr="001C2B22">
        <w:rPr>
          <w:rFonts w:cs="Times New Roman"/>
        </w:rPr>
        <w:t>common carriers</w:t>
      </w:r>
      <w:r w:rsidR="00BB7CB2" w:rsidRPr="001C2B22">
        <w:rPr>
          <w:rFonts w:cs="Times New Roman"/>
        </w:rPr>
        <w:t>,</w:t>
      </w:r>
      <w:r w:rsidR="000B1906">
        <w:rPr>
          <w:rFonts w:cs="Times New Roman"/>
        </w:rPr>
        <w:t>”</w:t>
      </w:r>
      <w:r w:rsidR="00735E5B" w:rsidRPr="001C2B22">
        <w:rPr>
          <w:rStyle w:val="FootnoteReference"/>
          <w:rFonts w:cs="Times New Roman"/>
        </w:rPr>
        <w:footnoteReference w:id="14"/>
      </w:r>
      <w:r w:rsidR="00C4665A" w:rsidRPr="001C2B22">
        <w:rPr>
          <w:rFonts w:cs="Times New Roman"/>
        </w:rPr>
        <w:t xml:space="preserve"> </w:t>
      </w:r>
      <w:r w:rsidR="00BB7CB2" w:rsidRPr="001C2B22">
        <w:rPr>
          <w:rFonts w:cs="Times New Roman"/>
        </w:rPr>
        <w:t>which</w:t>
      </w:r>
      <w:r w:rsidR="00C4665A" w:rsidRPr="001C2B22">
        <w:rPr>
          <w:rFonts w:cs="Times New Roman"/>
        </w:rPr>
        <w:t xml:space="preserve"> </w:t>
      </w:r>
      <w:r w:rsidR="00BB7CB2" w:rsidRPr="001C2B22">
        <w:rPr>
          <w:rFonts w:cs="Times New Roman"/>
        </w:rPr>
        <w:t>courts have interpreted to refer to the</w:t>
      </w:r>
      <w:r w:rsidR="00C4665A" w:rsidRPr="001C2B22">
        <w:rPr>
          <w:rFonts w:cs="Times New Roman"/>
        </w:rPr>
        <w:t xml:space="preserve"> histori</w:t>
      </w:r>
      <w:r w:rsidR="00735E5B" w:rsidRPr="001C2B22">
        <w:rPr>
          <w:rFonts w:cs="Times New Roman"/>
        </w:rPr>
        <w:t>c</w:t>
      </w:r>
      <w:r w:rsidR="00C4665A" w:rsidRPr="001C2B22">
        <w:rPr>
          <w:rFonts w:cs="Times New Roman"/>
        </w:rPr>
        <w:t>al meaning of the term</w:t>
      </w:r>
      <w:r w:rsidR="00735E5B" w:rsidRPr="001C2B22">
        <w:rPr>
          <w:rStyle w:val="FootnoteReference"/>
          <w:rFonts w:cs="Times New Roman"/>
        </w:rPr>
        <w:footnoteReference w:id="15"/>
      </w:r>
      <w:r w:rsidR="00F269D5" w:rsidRPr="001C2B22">
        <w:rPr>
          <w:rFonts w:cs="Times New Roman"/>
        </w:rPr>
        <w:t>—so that my discussion of the Act does not necessarily implicate public utility principles at all.</w:t>
      </w:r>
      <w:r w:rsidR="00A3409F" w:rsidRPr="001C2B22">
        <w:rPr>
          <w:rFonts w:cs="Times New Roman"/>
        </w:rPr>
        <w:t xml:space="preserve"> </w:t>
      </w:r>
    </w:p>
    <w:p w14:paraId="5F97F973" w14:textId="602B87A1" w:rsidR="00F3159A" w:rsidRPr="001C2B22" w:rsidRDefault="4B028EE7" w:rsidP="001C2B22">
      <w:pPr>
        <w:pStyle w:val="BodyText"/>
        <w:rPr>
          <w:rFonts w:cs="Times New Roman"/>
        </w:rPr>
      </w:pPr>
      <w:r w:rsidRPr="001C2B22">
        <w:rPr>
          <w:rFonts w:cs="Times New Roman"/>
        </w:rPr>
        <w:t xml:space="preserve">Further, I have never called for a </w:t>
      </w:r>
      <w:r w:rsidR="000B1906">
        <w:rPr>
          <w:rFonts w:cs="Times New Roman"/>
        </w:rPr>
        <w:t>“</w:t>
      </w:r>
      <w:r w:rsidRPr="001C2B22">
        <w:rPr>
          <w:rFonts w:cs="Times New Roman"/>
        </w:rPr>
        <w:t>dedicated regulator</w:t>
      </w:r>
      <w:r w:rsidR="000B1906">
        <w:rPr>
          <w:rFonts w:cs="Times New Roman"/>
        </w:rPr>
        <w:t>”</w:t>
      </w:r>
      <w:r w:rsidRPr="001C2B22">
        <w:rPr>
          <w:rFonts w:cs="Times New Roman"/>
        </w:rPr>
        <w:t xml:space="preserve"> to treat social media as public utilities</w:t>
      </w:r>
      <w:proofErr w:type="gramStart"/>
      <w:r w:rsidR="009C24AB">
        <w:rPr>
          <w:rFonts w:cs="Times New Roman"/>
        </w:rPr>
        <w:t>.</w:t>
      </w:r>
      <w:r w:rsidR="17EF79E0" w:rsidRPr="001C2B22">
        <w:rPr>
          <w:rFonts w:cs="Times New Roman"/>
        </w:rPr>
        <w:t xml:space="preserve"> </w:t>
      </w:r>
      <w:proofErr w:type="gramEnd"/>
      <w:r w:rsidR="00C61B84">
        <w:rPr>
          <w:rFonts w:cs="Times New Roman"/>
        </w:rPr>
        <w:t xml:space="preserve">Indeed, I have attacked </w:t>
      </w:r>
      <w:r w:rsidR="00124906">
        <w:rPr>
          <w:rFonts w:cs="Times New Roman"/>
        </w:rPr>
        <w:t xml:space="preserve">ferociously </w:t>
      </w:r>
      <w:r w:rsidR="00C61B84">
        <w:rPr>
          <w:rFonts w:cs="Times New Roman"/>
        </w:rPr>
        <w:t>the administrative state in many of my writings</w:t>
      </w:r>
      <w:proofErr w:type="gramStart"/>
      <w:r w:rsidR="00C61B84">
        <w:rPr>
          <w:rFonts w:cs="Times New Roman"/>
        </w:rPr>
        <w:t>.</w:t>
      </w:r>
      <w:r w:rsidR="00655030" w:rsidRPr="001C2B22" w:rsidDel="00655030">
        <w:rPr>
          <w:rFonts w:cs="Times New Roman"/>
        </w:rPr>
        <w:t xml:space="preserve"> </w:t>
      </w:r>
      <w:proofErr w:type="gramEnd"/>
      <w:r w:rsidR="00EF67E7" w:rsidRPr="001C2B22">
        <w:rPr>
          <w:rStyle w:val="FootnoteReference"/>
          <w:rFonts w:cs="Times New Roman"/>
        </w:rPr>
        <w:footnoteReference w:id="16"/>
      </w:r>
      <w:r w:rsidR="00C96280">
        <w:rPr>
          <w:rFonts w:cs="Times New Roman"/>
        </w:rPr>
        <w:t xml:space="preserve"> </w:t>
      </w:r>
      <w:r w:rsidR="00C61B84">
        <w:rPr>
          <w:rFonts w:cs="Times New Roman"/>
        </w:rPr>
        <w:t>My</w:t>
      </w:r>
      <w:r w:rsidR="00C61B84" w:rsidRPr="001C2B22">
        <w:rPr>
          <w:rFonts w:cs="Times New Roman"/>
        </w:rPr>
        <w:t xml:space="preserve"> </w:t>
      </w:r>
      <w:r w:rsidR="07E038B1" w:rsidRPr="001C2B22">
        <w:rPr>
          <w:rFonts w:cs="Times New Roman"/>
        </w:rPr>
        <w:t>article concludes</w:t>
      </w:r>
      <w:r w:rsidR="1635CCF6" w:rsidRPr="001C2B22">
        <w:rPr>
          <w:rFonts w:cs="Times New Roman"/>
        </w:rPr>
        <w:t>,</w:t>
      </w:r>
      <w:r w:rsidR="09026B47" w:rsidRPr="001C2B22">
        <w:rPr>
          <w:rFonts w:cs="Times New Roman"/>
        </w:rPr>
        <w:t xml:space="preserve"> with the second </w:t>
      </w:r>
      <w:r w:rsidR="00C61B84">
        <w:rPr>
          <w:rFonts w:cs="Times New Roman"/>
        </w:rPr>
        <w:t xml:space="preserve">of </w:t>
      </w:r>
      <w:r w:rsidR="09026B47" w:rsidRPr="001C2B22">
        <w:rPr>
          <w:rFonts w:cs="Times New Roman"/>
        </w:rPr>
        <w:t>two mentions of administrative agencies,</w:t>
      </w:r>
      <w:r w:rsidR="07E038B1" w:rsidRPr="001C2B22">
        <w:rPr>
          <w:rFonts w:cs="Times New Roman"/>
        </w:rPr>
        <w:t xml:space="preserve"> </w:t>
      </w:r>
      <w:proofErr w:type="gramStart"/>
      <w:r w:rsidR="07E038B1" w:rsidRPr="001C2B22">
        <w:rPr>
          <w:rFonts w:cs="Times New Roman"/>
        </w:rPr>
        <w:t>stating</w:t>
      </w:r>
      <w:proofErr w:type="gramEnd"/>
      <w:r w:rsidR="07E038B1" w:rsidRPr="001C2B22">
        <w:rPr>
          <w:rFonts w:cs="Times New Roman"/>
        </w:rPr>
        <w:t xml:space="preserve"> a </w:t>
      </w:r>
      <w:r w:rsidR="000B1906">
        <w:rPr>
          <w:rFonts w:cs="Times New Roman"/>
        </w:rPr>
        <w:t>“</w:t>
      </w:r>
      <w:r w:rsidR="07E038B1" w:rsidRPr="001C2B22">
        <w:rPr>
          <w:rFonts w:cs="Times New Roman"/>
        </w:rPr>
        <w:t>new deal is necessary, starting with, at least, a proper judicial understanding of section 230 and then statutory or regulatory reform, which is within the power of the FCC or FTC. These reforms would include an anti-discrimination requirement that dominant platforms share blocking technologies with users so that individuals, not corporate platforms, set the boundaries of on-line speech.</w:t>
      </w:r>
      <w:r w:rsidR="000B1906">
        <w:rPr>
          <w:rFonts w:cs="Times New Roman"/>
        </w:rPr>
        <w:t>”</w:t>
      </w:r>
      <w:r w:rsidR="006C05F4" w:rsidRPr="001C2B22">
        <w:rPr>
          <w:rStyle w:val="FootnoteReference"/>
          <w:rFonts w:cs="Times New Roman"/>
        </w:rPr>
        <w:footnoteReference w:id="17"/>
      </w:r>
      <w:r w:rsidR="07E038B1" w:rsidRPr="001C2B22">
        <w:rPr>
          <w:rFonts w:cs="Times New Roman"/>
        </w:rPr>
        <w:t xml:space="preserve"> My interest </w:t>
      </w:r>
      <w:r w:rsidR="17EF79E0" w:rsidRPr="001C2B22">
        <w:rPr>
          <w:rFonts w:cs="Times New Roman"/>
        </w:rPr>
        <w:t xml:space="preserve">is </w:t>
      </w:r>
      <w:r w:rsidR="00C61B84">
        <w:rPr>
          <w:rFonts w:cs="Times New Roman"/>
        </w:rPr>
        <w:t xml:space="preserve">in </w:t>
      </w:r>
      <w:r w:rsidR="17EF79E0" w:rsidRPr="001C2B22">
        <w:rPr>
          <w:rFonts w:cs="Times New Roman"/>
        </w:rPr>
        <w:t xml:space="preserve">simple common carrier-type non-discrimination </w:t>
      </w:r>
      <w:r w:rsidR="1635CCF6" w:rsidRPr="001C2B22">
        <w:rPr>
          <w:rFonts w:cs="Times New Roman"/>
        </w:rPr>
        <w:t>rules</w:t>
      </w:r>
      <w:r w:rsidR="00C61B84">
        <w:rPr>
          <w:rFonts w:cs="Times New Roman"/>
        </w:rPr>
        <w:t>,</w:t>
      </w:r>
      <w:r w:rsidR="1635CCF6" w:rsidRPr="001C2B22">
        <w:rPr>
          <w:rFonts w:cs="Times New Roman"/>
        </w:rPr>
        <w:t xml:space="preserve"> </w:t>
      </w:r>
      <w:r w:rsidR="17EF79E0" w:rsidRPr="001C2B22">
        <w:rPr>
          <w:rFonts w:cs="Times New Roman"/>
        </w:rPr>
        <w:t xml:space="preserve">and </w:t>
      </w:r>
      <w:r w:rsidR="120D159E" w:rsidRPr="001C2B22">
        <w:rPr>
          <w:rFonts w:cs="Times New Roman"/>
        </w:rPr>
        <w:t xml:space="preserve">I </w:t>
      </w:r>
      <w:r w:rsidR="17EF79E0" w:rsidRPr="001C2B22">
        <w:rPr>
          <w:rFonts w:cs="Times New Roman"/>
        </w:rPr>
        <w:t xml:space="preserve">am at best agnostic about whether </w:t>
      </w:r>
      <w:r w:rsidR="2C60A063" w:rsidRPr="001C2B22">
        <w:rPr>
          <w:rFonts w:cs="Times New Roman"/>
        </w:rPr>
        <w:t xml:space="preserve">administrative agencies should </w:t>
      </w:r>
      <w:r w:rsidR="2C60A063" w:rsidRPr="001C2B22">
        <w:rPr>
          <w:rFonts w:cs="Times New Roman"/>
        </w:rPr>
        <w:lastRenderedPageBreak/>
        <w:t>take the lead</w:t>
      </w:r>
      <w:r w:rsidR="17EF79E0" w:rsidRPr="001C2B22">
        <w:rPr>
          <w:rFonts w:cs="Times New Roman"/>
        </w:rPr>
        <w:t xml:space="preserve">, although elsewhere my preference for court-adjudicated standards is clear. </w:t>
      </w:r>
    </w:p>
    <w:p w14:paraId="7D0BD927" w14:textId="09119ADF" w:rsidR="00E46F0E" w:rsidRDefault="4B028EE7" w:rsidP="00C96280">
      <w:pPr>
        <w:pStyle w:val="BodyText"/>
        <w:rPr>
          <w:rFonts w:cs="Times New Roman"/>
        </w:rPr>
      </w:pPr>
      <w:r w:rsidRPr="001C2B22">
        <w:rPr>
          <w:rFonts w:cs="Times New Roman"/>
        </w:rPr>
        <w:t>Rather than require the complex pricing schemes of public utility law, s</w:t>
      </w:r>
      <w:r w:rsidR="3E498AD3" w:rsidRPr="001C2B22">
        <w:rPr>
          <w:rFonts w:cs="Times New Roman"/>
        </w:rPr>
        <w:t>ocial media non-discrimination laws</w:t>
      </w:r>
      <w:r w:rsidR="6764766B" w:rsidRPr="001C2B22">
        <w:rPr>
          <w:rFonts w:cs="Times New Roman"/>
        </w:rPr>
        <w:t>, like H</w:t>
      </w:r>
      <w:r w:rsidR="00002D62">
        <w:rPr>
          <w:rFonts w:cs="Times New Roman"/>
        </w:rPr>
        <w:t xml:space="preserve">ouse Bill </w:t>
      </w:r>
      <w:r w:rsidR="6764766B" w:rsidRPr="001C2B22">
        <w:rPr>
          <w:rFonts w:cs="Times New Roman"/>
        </w:rPr>
        <w:t>20</w:t>
      </w:r>
      <w:r w:rsidR="00002D62">
        <w:rPr>
          <w:rFonts w:cs="Times New Roman"/>
        </w:rPr>
        <w:t xml:space="preserve"> (H.B. 20)</w:t>
      </w:r>
      <w:r w:rsidR="6764766B" w:rsidRPr="001C2B22">
        <w:rPr>
          <w:rFonts w:cs="Times New Roman"/>
        </w:rPr>
        <w:t>,</w:t>
      </w:r>
      <w:r w:rsidR="3E498AD3" w:rsidRPr="001C2B22">
        <w:rPr>
          <w:rFonts w:cs="Times New Roman"/>
        </w:rPr>
        <w:t xml:space="preserve"> </w:t>
      </w:r>
      <w:r w:rsidR="1D043440" w:rsidRPr="001C2B22">
        <w:rPr>
          <w:rFonts w:cs="Times New Roman"/>
        </w:rPr>
        <w:t>require</w:t>
      </w:r>
      <w:r w:rsidR="3E498AD3" w:rsidRPr="001C2B22">
        <w:rPr>
          <w:rFonts w:cs="Times New Roman"/>
        </w:rPr>
        <w:t xml:space="preserve"> simple non-discrimination mandates, of the sort which regulate </w:t>
      </w:r>
      <w:r w:rsidR="55500C31" w:rsidRPr="001C2B22">
        <w:rPr>
          <w:rFonts w:cs="Times New Roman"/>
        </w:rPr>
        <w:t>railroads</w:t>
      </w:r>
      <w:r w:rsidR="3E498AD3" w:rsidRPr="001C2B22">
        <w:rPr>
          <w:rFonts w:cs="Times New Roman"/>
        </w:rPr>
        <w:t>,</w:t>
      </w:r>
      <w:r w:rsidR="009106C8" w:rsidRPr="001C2B22">
        <w:rPr>
          <w:rStyle w:val="FootnoteReference"/>
          <w:rFonts w:cs="Times New Roman"/>
        </w:rPr>
        <w:footnoteReference w:id="18"/>
      </w:r>
      <w:r w:rsidR="3E498AD3" w:rsidRPr="001C2B22">
        <w:rPr>
          <w:rFonts w:cs="Times New Roman"/>
        </w:rPr>
        <w:t xml:space="preserve"> restaurants</w:t>
      </w:r>
      <w:r w:rsidR="4BAE5546" w:rsidRPr="001C2B22">
        <w:rPr>
          <w:rFonts w:cs="Times New Roman"/>
        </w:rPr>
        <w:t>,</w:t>
      </w:r>
      <w:r w:rsidR="00140650" w:rsidRPr="001C2B22">
        <w:rPr>
          <w:rStyle w:val="FootnoteReference"/>
          <w:rFonts w:cs="Times New Roman"/>
        </w:rPr>
        <w:footnoteReference w:id="19"/>
      </w:r>
      <w:r w:rsidR="3E498AD3" w:rsidRPr="001C2B22">
        <w:rPr>
          <w:rFonts w:cs="Times New Roman"/>
        </w:rPr>
        <w:t xml:space="preserve"> </w:t>
      </w:r>
      <w:r w:rsidR="4BAE5546" w:rsidRPr="001C2B22">
        <w:rPr>
          <w:rFonts w:cs="Times New Roman"/>
        </w:rPr>
        <w:t>FEDEX,</w:t>
      </w:r>
      <w:r w:rsidR="00C04DCB" w:rsidRPr="001C2B22">
        <w:rPr>
          <w:rStyle w:val="FootnoteReference"/>
          <w:rFonts w:cs="Times New Roman"/>
        </w:rPr>
        <w:footnoteReference w:id="20"/>
      </w:r>
      <w:r w:rsidR="4BAE5546" w:rsidRPr="001C2B22">
        <w:rPr>
          <w:rFonts w:cs="Times New Roman"/>
        </w:rPr>
        <w:t xml:space="preserve"> </w:t>
      </w:r>
      <w:r w:rsidR="3E498AD3" w:rsidRPr="001C2B22">
        <w:rPr>
          <w:rFonts w:cs="Times New Roman"/>
        </w:rPr>
        <w:t xml:space="preserve">and </w:t>
      </w:r>
      <w:r w:rsidR="2EEE2CC3" w:rsidRPr="001C2B22">
        <w:rPr>
          <w:rFonts w:cs="Times New Roman"/>
        </w:rPr>
        <w:t>telegraphs</w:t>
      </w:r>
      <w:r w:rsidR="3E498AD3" w:rsidRPr="001C2B22">
        <w:rPr>
          <w:rFonts w:cs="Times New Roman"/>
        </w:rPr>
        <w:t>,</w:t>
      </w:r>
      <w:r w:rsidR="00140650" w:rsidRPr="001C2B22">
        <w:rPr>
          <w:rStyle w:val="FootnoteReference"/>
          <w:rFonts w:cs="Times New Roman"/>
        </w:rPr>
        <w:footnoteReference w:id="21"/>
      </w:r>
      <w:r w:rsidR="3E498AD3" w:rsidRPr="001C2B22">
        <w:rPr>
          <w:rFonts w:cs="Times New Roman"/>
        </w:rPr>
        <w:t xml:space="preserve"> and which courts have enforced for centuries</w:t>
      </w:r>
      <w:proofErr w:type="gramStart"/>
      <w:r w:rsidR="3E498AD3" w:rsidRPr="001C2B22">
        <w:rPr>
          <w:rFonts w:cs="Times New Roman"/>
        </w:rPr>
        <w:t>.</w:t>
      </w:r>
      <w:r w:rsidR="20FDBA73" w:rsidRPr="001C2B22">
        <w:rPr>
          <w:rFonts w:cs="Times New Roman"/>
        </w:rPr>
        <w:t xml:space="preserve"> And,</w:t>
      </w:r>
      <w:proofErr w:type="gramEnd"/>
      <w:r w:rsidR="20FDBA73" w:rsidRPr="001C2B22">
        <w:rPr>
          <w:rFonts w:cs="Times New Roman"/>
        </w:rPr>
        <w:t xml:space="preserve"> that</w:t>
      </w:r>
      <w:r w:rsidR="000B1906">
        <w:rPr>
          <w:rFonts w:cs="Times New Roman"/>
        </w:rPr>
        <w:t>’</w:t>
      </w:r>
      <w:r w:rsidR="20FDBA73" w:rsidRPr="001C2B22">
        <w:rPr>
          <w:rFonts w:cs="Times New Roman"/>
        </w:rPr>
        <w:t>s all my article</w:t>
      </w:r>
      <w:r w:rsidR="00C96280">
        <w:rPr>
          <w:rFonts w:cs="Times New Roman"/>
        </w:rPr>
        <w:t>—</w:t>
      </w:r>
      <w:r w:rsidR="20FDBA73" w:rsidRPr="001C2B22">
        <w:rPr>
          <w:rFonts w:cs="Times New Roman"/>
        </w:rPr>
        <w:t>or</w:t>
      </w:r>
      <w:r w:rsidR="00C61B84">
        <w:rPr>
          <w:rFonts w:cs="Times New Roman"/>
        </w:rPr>
        <w:t>,</w:t>
      </w:r>
      <w:r w:rsidR="20FDBA73" w:rsidRPr="001C2B22">
        <w:rPr>
          <w:rFonts w:cs="Times New Roman"/>
        </w:rPr>
        <w:t xml:space="preserve"> for that matter, supporters of H.B. 20</w:t>
      </w:r>
      <w:r w:rsidR="00C61B84">
        <w:rPr>
          <w:rFonts w:cs="Times New Roman"/>
        </w:rPr>
        <w:t>—a</w:t>
      </w:r>
      <w:r w:rsidR="20FDBA73" w:rsidRPr="001C2B22">
        <w:rPr>
          <w:rFonts w:cs="Times New Roman"/>
        </w:rPr>
        <w:t xml:space="preserve">rgue for. </w:t>
      </w:r>
      <w:r w:rsidR="62CEEB0D" w:rsidRPr="001C2B22">
        <w:rPr>
          <w:rFonts w:cs="Times New Roman"/>
        </w:rPr>
        <w:t xml:space="preserve">My article </w:t>
      </w:r>
      <w:r w:rsidR="20FDBA73" w:rsidRPr="001C2B22">
        <w:rPr>
          <w:rFonts w:cs="Times New Roman"/>
        </w:rPr>
        <w:t>state</w:t>
      </w:r>
      <w:r w:rsidR="62CEEB0D" w:rsidRPr="001C2B22">
        <w:rPr>
          <w:rFonts w:cs="Times New Roman"/>
        </w:rPr>
        <w:t>s</w:t>
      </w:r>
      <w:r w:rsidR="20FDBA73" w:rsidRPr="001C2B22">
        <w:rPr>
          <w:rFonts w:cs="Times New Roman"/>
        </w:rPr>
        <w:t xml:space="preserve"> </w:t>
      </w:r>
      <w:r w:rsidR="000B1906">
        <w:rPr>
          <w:rFonts w:cs="Times New Roman"/>
        </w:rPr>
        <w:t>“</w:t>
      </w:r>
      <w:r w:rsidR="20FDBA73" w:rsidRPr="001C2B22">
        <w:rPr>
          <w:rFonts w:cs="Times New Roman"/>
        </w:rPr>
        <w:t>simple de-platforming . . . can be analyzed under a non-discrimination framework</w:t>
      </w:r>
      <w:proofErr w:type="gramStart"/>
      <w:r w:rsidR="20FDBA73" w:rsidRPr="001C2B22">
        <w:rPr>
          <w:rFonts w:cs="Times New Roman"/>
        </w:rPr>
        <w:t xml:space="preserve">. </w:t>
      </w:r>
      <w:proofErr w:type="gramEnd"/>
      <w:r w:rsidR="20FDBA73" w:rsidRPr="001C2B22">
        <w:rPr>
          <w:rFonts w:cs="Times New Roman"/>
        </w:rPr>
        <w:t xml:space="preserve">The question of whether one is discriminatorily </w:t>
      </w:r>
      <w:proofErr w:type="gramStart"/>
      <w:r w:rsidR="20FDBA73" w:rsidRPr="001C2B22">
        <w:rPr>
          <w:rFonts w:cs="Times New Roman"/>
        </w:rPr>
        <w:t>terminated</w:t>
      </w:r>
      <w:proofErr w:type="gramEnd"/>
      <w:r w:rsidR="20FDBA73" w:rsidRPr="001C2B22">
        <w:rPr>
          <w:rFonts w:cs="Times New Roman"/>
        </w:rPr>
        <w:t xml:space="preserve"> from a network is not a deep technical issue. Rather, it is akin to the discrimination question in civil rights and employment law that courts routinely answer.</w:t>
      </w:r>
      <w:r w:rsidR="000B1906">
        <w:rPr>
          <w:rFonts w:cs="Times New Roman"/>
        </w:rPr>
        <w:t>”</w:t>
      </w:r>
      <w:r w:rsidR="008C0AC5" w:rsidRPr="001C2B22">
        <w:rPr>
          <w:rStyle w:val="FootnoteReference"/>
          <w:rFonts w:cs="Times New Roman"/>
        </w:rPr>
        <w:footnoteReference w:id="22"/>
      </w:r>
    </w:p>
    <w:p w14:paraId="1C0174CE" w14:textId="5ED7C56D" w:rsidR="00EF3CF9" w:rsidRPr="001C2B22" w:rsidRDefault="00EF3CF9" w:rsidP="00002D62">
      <w:pPr>
        <w:pStyle w:val="Heading2"/>
        <w:numPr>
          <w:ilvl w:val="0"/>
          <w:numId w:val="6"/>
        </w:numPr>
      </w:pPr>
      <w:bookmarkStart w:id="3" w:name="_Toc164183609"/>
      <w:r>
        <w:t>H</w:t>
      </w:r>
      <w:r w:rsidR="00002D62">
        <w:t>.</w:t>
      </w:r>
      <w:r>
        <w:t>B</w:t>
      </w:r>
      <w:r w:rsidR="00002D62">
        <w:t>.</w:t>
      </w:r>
      <w:r>
        <w:t xml:space="preserve"> 20</w:t>
      </w:r>
      <w:bookmarkEnd w:id="3"/>
    </w:p>
    <w:p w14:paraId="699C8851" w14:textId="7A92951A" w:rsidR="00391679" w:rsidRPr="001C2B22" w:rsidRDefault="62CEEB0D" w:rsidP="001C2B22">
      <w:pPr>
        <w:pStyle w:val="BodyText"/>
        <w:rPr>
          <w:rFonts w:cs="Times New Roman"/>
        </w:rPr>
      </w:pPr>
      <w:r w:rsidRPr="001C2B22">
        <w:rPr>
          <w:rFonts w:cs="Times New Roman"/>
        </w:rPr>
        <w:t>Armed with this misreading</w:t>
      </w:r>
      <w:r w:rsidR="6AB335D2" w:rsidRPr="001C2B22">
        <w:rPr>
          <w:rFonts w:cs="Times New Roman"/>
        </w:rPr>
        <w:t xml:space="preserve"> that my article advocates </w:t>
      </w:r>
      <w:r w:rsidR="11BCCA07" w:rsidRPr="001C2B22">
        <w:rPr>
          <w:rFonts w:cs="Times New Roman"/>
        </w:rPr>
        <w:t xml:space="preserve">comprehensive </w:t>
      </w:r>
      <w:r w:rsidR="6AB335D2" w:rsidRPr="001C2B22">
        <w:rPr>
          <w:rFonts w:cs="Times New Roman"/>
        </w:rPr>
        <w:t>public utility regulation of social media</w:t>
      </w:r>
      <w:r w:rsidRPr="001C2B22">
        <w:rPr>
          <w:rFonts w:cs="Times New Roman"/>
        </w:rPr>
        <w:t xml:space="preserve">, </w:t>
      </w:r>
      <w:r w:rsidRPr="001C2B22">
        <w:rPr>
          <w:rFonts w:cs="Times New Roman"/>
          <w:i/>
          <w:iCs/>
        </w:rPr>
        <w:t>Regulatory Implications</w:t>
      </w:r>
      <w:r w:rsidR="00E65743">
        <w:rPr>
          <w:rFonts w:cs="Times New Roman"/>
        </w:rPr>
        <w:t xml:space="preserve"> suggests</w:t>
      </w:r>
      <w:r w:rsidRPr="001C2B22">
        <w:rPr>
          <w:rFonts w:cs="Times New Roman"/>
        </w:rPr>
        <w:t xml:space="preserve"> non-discrimination </w:t>
      </w:r>
      <w:r w:rsidR="070690E5" w:rsidRPr="001C2B22">
        <w:rPr>
          <w:rFonts w:cs="Times New Roman"/>
        </w:rPr>
        <w:t xml:space="preserve">of the type H.B. 20 </w:t>
      </w:r>
      <w:r w:rsidR="00C61B84">
        <w:rPr>
          <w:rFonts w:cs="Times New Roman"/>
        </w:rPr>
        <w:t>requires</w:t>
      </w:r>
      <w:r w:rsidR="00C61B84" w:rsidRPr="001C2B22">
        <w:rPr>
          <w:rFonts w:cs="Times New Roman"/>
        </w:rPr>
        <w:t xml:space="preserve"> </w:t>
      </w:r>
      <w:r w:rsidR="00C61B84">
        <w:rPr>
          <w:rFonts w:cs="Times New Roman"/>
        </w:rPr>
        <w:t>is, in fact,</w:t>
      </w:r>
      <w:r w:rsidR="00C61B84" w:rsidRPr="001C2B22">
        <w:rPr>
          <w:rFonts w:cs="Times New Roman"/>
        </w:rPr>
        <w:t xml:space="preserve"> </w:t>
      </w:r>
      <w:r w:rsidRPr="001C2B22">
        <w:rPr>
          <w:rFonts w:cs="Times New Roman"/>
        </w:rPr>
        <w:t xml:space="preserve">invasive </w:t>
      </w:r>
      <w:r w:rsidR="09026B47" w:rsidRPr="001C2B22">
        <w:rPr>
          <w:rFonts w:cs="Times New Roman"/>
        </w:rPr>
        <w:t xml:space="preserve">public utility </w:t>
      </w:r>
      <w:r w:rsidR="6AB335D2" w:rsidRPr="001C2B22">
        <w:rPr>
          <w:rFonts w:cs="Times New Roman"/>
        </w:rPr>
        <w:t>rate regulation</w:t>
      </w:r>
      <w:r w:rsidR="08CD6013" w:rsidRPr="001C2B22">
        <w:rPr>
          <w:rFonts w:cs="Times New Roman"/>
        </w:rPr>
        <w:t xml:space="preserve"> and then </w:t>
      </w:r>
      <w:proofErr w:type="gramStart"/>
      <w:r w:rsidR="08CD6013" w:rsidRPr="001C2B22">
        <w:rPr>
          <w:rFonts w:cs="Times New Roman"/>
        </w:rPr>
        <w:t>proceeds</w:t>
      </w:r>
      <w:proofErr w:type="gramEnd"/>
      <w:r w:rsidR="08CD6013" w:rsidRPr="001C2B22">
        <w:rPr>
          <w:rFonts w:cs="Times New Roman"/>
        </w:rPr>
        <w:t xml:space="preserve"> through a litany of </w:t>
      </w:r>
      <w:r w:rsidR="00E65743">
        <w:rPr>
          <w:rFonts w:cs="Times New Roman"/>
        </w:rPr>
        <w:t>hypotheticals</w:t>
      </w:r>
      <w:r w:rsidRPr="001C2B22">
        <w:rPr>
          <w:rFonts w:cs="Times New Roman"/>
        </w:rPr>
        <w:t xml:space="preserve">. </w:t>
      </w:r>
    </w:p>
    <w:p w14:paraId="24FF8C27" w14:textId="3B0F6025" w:rsidR="00CB7F5B" w:rsidRPr="001C2B22" w:rsidRDefault="09026B47" w:rsidP="001C2B22">
      <w:pPr>
        <w:pStyle w:val="BodyText"/>
        <w:rPr>
          <w:rFonts w:cs="Times New Roman"/>
        </w:rPr>
      </w:pPr>
      <w:r w:rsidRPr="001C2B22">
        <w:rPr>
          <w:rFonts w:cs="Times New Roman"/>
        </w:rPr>
        <w:t xml:space="preserve">First, </w:t>
      </w:r>
      <w:r w:rsidR="000B1906">
        <w:rPr>
          <w:rFonts w:cs="Times New Roman"/>
        </w:rPr>
        <w:t>“</w:t>
      </w:r>
      <w:r w:rsidR="005A07BF">
        <w:rPr>
          <w:rFonts w:cs="Times New Roman"/>
        </w:rPr>
        <w:t>[r]</w:t>
      </w:r>
      <w:proofErr w:type="spellStart"/>
      <w:r w:rsidR="17B71887" w:rsidRPr="001C2B22">
        <w:rPr>
          <w:rFonts w:cs="Times New Roman"/>
        </w:rPr>
        <w:t>ather</w:t>
      </w:r>
      <w:proofErr w:type="spellEnd"/>
      <w:r w:rsidR="17B71887" w:rsidRPr="001C2B22">
        <w:rPr>
          <w:rFonts w:cs="Times New Roman"/>
        </w:rPr>
        <w:t xml:space="preserve"> than regulate internet platforms</w:t>
      </w:r>
      <w:r w:rsidR="000B1906">
        <w:rPr>
          <w:rFonts w:cs="Times New Roman"/>
        </w:rPr>
        <w:t>’</w:t>
      </w:r>
      <w:r w:rsidR="17B71887" w:rsidRPr="001C2B22">
        <w:rPr>
          <w:rFonts w:cs="Times New Roman"/>
        </w:rPr>
        <w:t xml:space="preserve"> economic conduct (e.g., prices), however, the government would regulate the platforms</w:t>
      </w:r>
      <w:r w:rsidR="000B1906">
        <w:rPr>
          <w:rFonts w:cs="Times New Roman"/>
        </w:rPr>
        <w:t>’</w:t>
      </w:r>
      <w:r w:rsidR="17B71887" w:rsidRPr="001C2B22">
        <w:rPr>
          <w:rFonts w:cs="Times New Roman"/>
        </w:rPr>
        <w:t xml:space="preserve"> speech</w:t>
      </w:r>
      <w:proofErr w:type="gramStart"/>
      <w:r w:rsidR="17B71887" w:rsidRPr="001C2B22">
        <w:rPr>
          <w:rFonts w:cs="Times New Roman"/>
        </w:rPr>
        <w:t xml:space="preserve">. </w:t>
      </w:r>
      <w:proofErr w:type="gramEnd"/>
      <w:r w:rsidR="17B71887" w:rsidRPr="001C2B22">
        <w:rPr>
          <w:rFonts w:cs="Times New Roman"/>
        </w:rPr>
        <w:t xml:space="preserve">The problem, of course, is that because neither common carriage nor public utility </w:t>
      </w:r>
      <w:r w:rsidR="17B71887" w:rsidRPr="001C2B22">
        <w:rPr>
          <w:rFonts w:cs="Times New Roman"/>
        </w:rPr>
        <w:lastRenderedPageBreak/>
        <w:t xml:space="preserve">regulation </w:t>
      </w:r>
      <w:proofErr w:type="gramStart"/>
      <w:r w:rsidR="17B71887" w:rsidRPr="001C2B22">
        <w:rPr>
          <w:rFonts w:cs="Times New Roman"/>
        </w:rPr>
        <w:t>were ever intended</w:t>
      </w:r>
      <w:proofErr w:type="gramEnd"/>
      <w:r w:rsidR="17B71887" w:rsidRPr="001C2B22">
        <w:rPr>
          <w:rFonts w:cs="Times New Roman"/>
        </w:rPr>
        <w:t xml:space="preserve"> to serve this function, how that regulatory regime would work in practice is unclear.</w:t>
      </w:r>
      <w:r w:rsidR="000B1906">
        <w:rPr>
          <w:rFonts w:cs="Times New Roman"/>
        </w:rPr>
        <w:t>”</w:t>
      </w:r>
      <w:r w:rsidR="00D26988" w:rsidRPr="001C2B22">
        <w:rPr>
          <w:rStyle w:val="FootnoteReference"/>
          <w:rFonts w:cs="Times New Roman"/>
        </w:rPr>
        <w:footnoteReference w:id="23"/>
      </w:r>
      <w:r w:rsidR="17B71887" w:rsidRPr="001C2B22">
        <w:rPr>
          <w:rFonts w:cs="Times New Roman"/>
        </w:rPr>
        <w:t xml:space="preserve"> </w:t>
      </w:r>
    </w:p>
    <w:p w14:paraId="3E38FC00" w14:textId="072DEEF6" w:rsidR="004D3B0D" w:rsidRPr="001C2B22" w:rsidRDefault="00140650" w:rsidP="001C2B22">
      <w:pPr>
        <w:pStyle w:val="BodyText"/>
        <w:rPr>
          <w:rFonts w:cs="Times New Roman"/>
        </w:rPr>
      </w:pPr>
      <w:r w:rsidRPr="001C2B22">
        <w:rPr>
          <w:rFonts w:cs="Times New Roman"/>
        </w:rPr>
        <w:t>To the contrary</w:t>
      </w:r>
      <w:r w:rsidR="00FA1388" w:rsidRPr="001C2B22">
        <w:rPr>
          <w:rFonts w:cs="Times New Roman"/>
        </w:rPr>
        <w:t xml:space="preserve">, the history of common carrier </w:t>
      </w:r>
      <w:r w:rsidR="00197A14">
        <w:rPr>
          <w:rFonts w:cs="Times New Roman"/>
        </w:rPr>
        <w:t xml:space="preserve">law </w:t>
      </w:r>
      <w:r w:rsidRPr="001C2B22">
        <w:rPr>
          <w:rFonts w:cs="Times New Roman"/>
        </w:rPr>
        <w:t xml:space="preserve">shows </w:t>
      </w:r>
      <w:r w:rsidR="0064047B" w:rsidRPr="001C2B22">
        <w:rPr>
          <w:rFonts w:cs="Times New Roman"/>
        </w:rPr>
        <w:t>how</w:t>
      </w:r>
      <w:r w:rsidR="0033537C" w:rsidRPr="001C2B22">
        <w:rPr>
          <w:rFonts w:cs="Times New Roman"/>
        </w:rPr>
        <w:t xml:space="preserve"> </w:t>
      </w:r>
      <w:r w:rsidR="00097109" w:rsidRPr="001C2B22">
        <w:rPr>
          <w:rFonts w:cs="Times New Roman"/>
        </w:rPr>
        <w:t xml:space="preserve">it imposed </w:t>
      </w:r>
      <w:r w:rsidR="0033537C" w:rsidRPr="001C2B22">
        <w:rPr>
          <w:rFonts w:cs="Times New Roman"/>
        </w:rPr>
        <w:t xml:space="preserve">non-discrimination mandates </w:t>
      </w:r>
      <w:r w:rsidR="00097109" w:rsidRPr="001C2B22">
        <w:rPr>
          <w:rFonts w:cs="Times New Roman"/>
        </w:rPr>
        <w:t xml:space="preserve">on </w:t>
      </w:r>
      <w:r w:rsidR="0064047B" w:rsidRPr="001C2B22">
        <w:rPr>
          <w:rFonts w:cs="Times New Roman"/>
        </w:rPr>
        <w:t>businesses</w:t>
      </w:r>
      <w:r w:rsidR="0033537C" w:rsidRPr="001C2B22">
        <w:rPr>
          <w:rFonts w:cs="Times New Roman"/>
        </w:rPr>
        <w:t xml:space="preserve"> carrying speech and messages</w:t>
      </w:r>
      <w:r w:rsidR="00631DF1" w:rsidRPr="001C2B22">
        <w:rPr>
          <w:rFonts w:cs="Times New Roman"/>
        </w:rPr>
        <w:t xml:space="preserve">—even </w:t>
      </w:r>
      <w:r w:rsidR="00A959E9" w:rsidRPr="001C2B22">
        <w:rPr>
          <w:rFonts w:cs="Times New Roman"/>
        </w:rPr>
        <w:t>accept</w:t>
      </w:r>
      <w:r w:rsidR="00F310B6" w:rsidRPr="001C2B22">
        <w:rPr>
          <w:rFonts w:cs="Times New Roman"/>
        </w:rPr>
        <w:t>ing</w:t>
      </w:r>
      <w:r w:rsidR="00CB7F5B" w:rsidRPr="001C2B22">
        <w:rPr>
          <w:rFonts w:cs="Times New Roman"/>
        </w:rPr>
        <w:t xml:space="preserve"> the</w:t>
      </w:r>
      <w:r w:rsidR="00A959E9" w:rsidRPr="001C2B22">
        <w:rPr>
          <w:rFonts w:cs="Times New Roman"/>
        </w:rPr>
        <w:t xml:space="preserve"> </w:t>
      </w:r>
      <w:r w:rsidR="009931A8" w:rsidRPr="001C2B22">
        <w:rPr>
          <w:rFonts w:cs="Times New Roman"/>
        </w:rPr>
        <w:t>tendentious</w:t>
      </w:r>
      <w:r w:rsidR="00A959E9" w:rsidRPr="001C2B22">
        <w:rPr>
          <w:rFonts w:cs="Times New Roman"/>
        </w:rPr>
        <w:t xml:space="preserve"> </w:t>
      </w:r>
      <w:r w:rsidR="00436306" w:rsidRPr="001C2B22">
        <w:rPr>
          <w:rFonts w:cs="Times New Roman"/>
        </w:rPr>
        <w:t>assertion</w:t>
      </w:r>
      <w:r w:rsidR="00A959E9" w:rsidRPr="001C2B22">
        <w:rPr>
          <w:rFonts w:cs="Times New Roman"/>
        </w:rPr>
        <w:t xml:space="preserve"> </w:t>
      </w:r>
      <w:r w:rsidR="00631DF1" w:rsidRPr="001C2B22">
        <w:rPr>
          <w:rFonts w:cs="Times New Roman"/>
        </w:rPr>
        <w:t xml:space="preserve">that the messages carriers bear </w:t>
      </w:r>
      <w:proofErr w:type="gramStart"/>
      <w:r w:rsidR="00631DF1" w:rsidRPr="001C2B22">
        <w:rPr>
          <w:rFonts w:cs="Times New Roman"/>
        </w:rPr>
        <w:t>are</w:t>
      </w:r>
      <w:proofErr w:type="gramEnd"/>
      <w:r w:rsidR="00631DF1" w:rsidRPr="001C2B22">
        <w:rPr>
          <w:rFonts w:cs="Times New Roman"/>
        </w:rPr>
        <w:t xml:space="preserve"> their own expression. For instance, common carrier principles were applied to telegraphs when they refused to carry news stories critical of telegraph companies</w:t>
      </w:r>
      <w:r w:rsidR="00F310B6" w:rsidRPr="001C2B22">
        <w:rPr>
          <w:rFonts w:cs="Times New Roman"/>
        </w:rPr>
        <w:t xml:space="preserve"> in the 19</w:t>
      </w:r>
      <w:r w:rsidR="00F310B6" w:rsidRPr="001C2B22">
        <w:rPr>
          <w:rFonts w:cs="Times New Roman"/>
          <w:vertAlign w:val="superscript"/>
        </w:rPr>
        <w:t>th</w:t>
      </w:r>
      <w:r w:rsidR="00F310B6" w:rsidRPr="001C2B22">
        <w:rPr>
          <w:rFonts w:cs="Times New Roman"/>
        </w:rPr>
        <w:t xml:space="preserve"> century.</w:t>
      </w:r>
      <w:r w:rsidR="00FA1388" w:rsidRPr="001C2B22">
        <w:rPr>
          <w:rStyle w:val="FootnoteReference"/>
          <w:rFonts w:cs="Times New Roman"/>
        </w:rPr>
        <w:footnoteReference w:id="24"/>
      </w:r>
      <w:r w:rsidR="00C96280">
        <w:rPr>
          <w:rFonts w:cs="Times New Roman"/>
        </w:rPr>
        <w:t xml:space="preserve"> </w:t>
      </w:r>
      <w:r w:rsidR="00BB7CB2" w:rsidRPr="001C2B22">
        <w:rPr>
          <w:rFonts w:cs="Times New Roman"/>
        </w:rPr>
        <w:t xml:space="preserve">And, indeed, </w:t>
      </w:r>
      <w:r w:rsidR="0064047B" w:rsidRPr="001C2B22">
        <w:rPr>
          <w:rFonts w:cs="Times New Roman"/>
        </w:rPr>
        <w:t>judicial rulings hold th</w:t>
      </w:r>
      <w:r w:rsidR="00097109" w:rsidRPr="001C2B22">
        <w:rPr>
          <w:rFonts w:cs="Times New Roman"/>
        </w:rPr>
        <w:t>at requiring carriers to bear others</w:t>
      </w:r>
      <w:r w:rsidR="000B1906">
        <w:rPr>
          <w:rFonts w:cs="Times New Roman"/>
        </w:rPr>
        <w:t>’</w:t>
      </w:r>
      <w:r w:rsidR="00097109" w:rsidRPr="001C2B22">
        <w:rPr>
          <w:rFonts w:cs="Times New Roman"/>
        </w:rPr>
        <w:t xml:space="preserve"> messages does not convert those messages into carrier expression</w:t>
      </w:r>
      <w:proofErr w:type="gramStart"/>
      <w:r w:rsidR="0064047B" w:rsidRPr="001C2B22">
        <w:rPr>
          <w:rFonts w:cs="Times New Roman"/>
        </w:rPr>
        <w:t xml:space="preserve">. </w:t>
      </w:r>
      <w:proofErr w:type="gramEnd"/>
      <w:r w:rsidR="0064047B" w:rsidRPr="001C2B22">
        <w:rPr>
          <w:rFonts w:cs="Times New Roman"/>
        </w:rPr>
        <w:t xml:space="preserve">Companies that carry </w:t>
      </w:r>
      <w:r w:rsidR="0064047B" w:rsidRPr="001C2B22">
        <w:rPr>
          <w:rFonts w:cs="Times New Roman"/>
          <w:i/>
          <w:iCs/>
        </w:rPr>
        <w:t>others</w:t>
      </w:r>
      <w:r w:rsidR="000B1906">
        <w:rPr>
          <w:rFonts w:cs="Times New Roman"/>
          <w:i/>
          <w:iCs/>
        </w:rPr>
        <w:t>’</w:t>
      </w:r>
      <w:r w:rsidR="00C96280">
        <w:rPr>
          <w:rFonts w:cs="Times New Roman"/>
          <w:i/>
          <w:iCs/>
        </w:rPr>
        <w:t xml:space="preserve"> </w:t>
      </w:r>
      <w:r w:rsidR="0064047B" w:rsidRPr="001C2B22">
        <w:rPr>
          <w:rFonts w:cs="Times New Roman"/>
        </w:rPr>
        <w:t>speech cannot claim it as their own</w:t>
      </w:r>
      <w:proofErr w:type="gramStart"/>
      <w:r w:rsidR="0064047B" w:rsidRPr="001C2B22">
        <w:rPr>
          <w:rFonts w:cs="Times New Roman"/>
        </w:rPr>
        <w:t xml:space="preserve">. </w:t>
      </w:r>
      <w:proofErr w:type="gramEnd"/>
      <w:r w:rsidR="0064047B" w:rsidRPr="001C2B22">
        <w:rPr>
          <w:rFonts w:cs="Times New Roman"/>
        </w:rPr>
        <w:t>This i</w:t>
      </w:r>
      <w:r w:rsidR="00BB7CB2" w:rsidRPr="001C2B22">
        <w:rPr>
          <w:rFonts w:cs="Times New Roman"/>
        </w:rPr>
        <w:t xml:space="preserve">s the </w:t>
      </w:r>
      <w:r w:rsidR="0064047B" w:rsidRPr="001C2B22">
        <w:rPr>
          <w:rFonts w:cs="Times New Roman"/>
        </w:rPr>
        <w:t xml:space="preserve">conclusion that the </w:t>
      </w:r>
      <w:r w:rsidR="00BB7CB2" w:rsidRPr="001C2B22">
        <w:rPr>
          <w:rFonts w:cs="Times New Roman"/>
        </w:rPr>
        <w:t>Fifth Circuit</w:t>
      </w:r>
      <w:r w:rsidR="0064047B" w:rsidRPr="001C2B22">
        <w:rPr>
          <w:rFonts w:cs="Times New Roman"/>
        </w:rPr>
        <w:t xml:space="preserve"> in </w:t>
      </w:r>
      <w:proofErr w:type="spellStart"/>
      <w:r w:rsidR="0064047B" w:rsidRPr="001C2B22">
        <w:rPr>
          <w:rFonts w:cs="Times New Roman"/>
          <w:i/>
          <w:iCs/>
        </w:rPr>
        <w:t>NetChoice</w:t>
      </w:r>
      <w:proofErr w:type="spellEnd"/>
      <w:r w:rsidR="0064047B" w:rsidRPr="001C2B22">
        <w:rPr>
          <w:rFonts w:cs="Times New Roman"/>
          <w:i/>
          <w:iCs/>
        </w:rPr>
        <w:t xml:space="preserve"> </w:t>
      </w:r>
      <w:r w:rsidR="0064047B" w:rsidRPr="001C2B22">
        <w:rPr>
          <w:rFonts w:cs="Times New Roman"/>
        </w:rPr>
        <w:t>came to, pointing out that the</w:t>
      </w:r>
      <w:r w:rsidR="00BB7CB2" w:rsidRPr="001C2B22">
        <w:rPr>
          <w:rFonts w:cs="Times New Roman"/>
        </w:rPr>
        <w:t xml:space="preserve"> platforms, themselves</w:t>
      </w:r>
      <w:r w:rsidR="0064047B" w:rsidRPr="001C2B22">
        <w:rPr>
          <w:rFonts w:cs="Times New Roman"/>
        </w:rPr>
        <w:t>,</w:t>
      </w:r>
      <w:r w:rsidR="00BB7CB2" w:rsidRPr="001C2B22">
        <w:rPr>
          <w:rFonts w:cs="Times New Roman"/>
        </w:rPr>
        <w:t xml:space="preserve"> have strenuously advocated </w:t>
      </w:r>
      <w:r w:rsidR="0064047B" w:rsidRPr="001C2B22">
        <w:rPr>
          <w:rFonts w:cs="Times New Roman"/>
        </w:rPr>
        <w:t xml:space="preserve">such a view </w:t>
      </w:r>
      <w:r w:rsidR="00BB7CB2" w:rsidRPr="001C2B22">
        <w:rPr>
          <w:rFonts w:cs="Times New Roman"/>
        </w:rPr>
        <w:t>in Section 230 cases</w:t>
      </w:r>
      <w:r w:rsidR="0064047B" w:rsidRPr="001C2B22">
        <w:rPr>
          <w:rFonts w:cs="Times New Roman"/>
        </w:rPr>
        <w:t>.</w:t>
      </w:r>
      <w:r w:rsidR="00356537" w:rsidRPr="001C2B22">
        <w:rPr>
          <w:rStyle w:val="FootnoteReference"/>
          <w:rFonts w:cs="Times New Roman"/>
        </w:rPr>
        <w:footnoteReference w:id="25"/>
      </w:r>
      <w:r w:rsidR="00C96280">
        <w:rPr>
          <w:rFonts w:cs="Times New Roman"/>
        </w:rPr>
        <w:t xml:space="preserve"> </w:t>
      </w:r>
      <w:r w:rsidR="0064047B" w:rsidRPr="001C2B22">
        <w:rPr>
          <w:rFonts w:cs="Times New Roman"/>
        </w:rPr>
        <w:t xml:space="preserve">Even more important, the Supreme Court </w:t>
      </w:r>
      <w:r w:rsidR="00DF780C" w:rsidRPr="001C2B22">
        <w:rPr>
          <w:rFonts w:cs="Times New Roman"/>
        </w:rPr>
        <w:t xml:space="preserve">appeared to side with </w:t>
      </w:r>
      <w:r w:rsidR="0064047B" w:rsidRPr="001C2B22">
        <w:rPr>
          <w:rFonts w:cs="Times New Roman"/>
        </w:rPr>
        <w:t xml:space="preserve">this view </w:t>
      </w:r>
      <w:r w:rsidR="00BB7CB2" w:rsidRPr="001C2B22">
        <w:rPr>
          <w:rFonts w:cs="Times New Roman"/>
        </w:rPr>
        <w:t xml:space="preserve">just last term in </w:t>
      </w:r>
      <w:proofErr w:type="spellStart"/>
      <w:r w:rsidR="00BB7CB2" w:rsidRPr="001C2B22">
        <w:rPr>
          <w:rFonts w:cs="Times New Roman"/>
          <w:i/>
          <w:iCs/>
        </w:rPr>
        <w:t>Taamneh</w:t>
      </w:r>
      <w:proofErr w:type="spellEnd"/>
      <w:r w:rsidR="00DF780C" w:rsidRPr="001C2B22">
        <w:rPr>
          <w:rFonts w:cs="Times New Roman"/>
        </w:rPr>
        <w:t xml:space="preserve">, </w:t>
      </w:r>
      <w:proofErr w:type="gramStart"/>
      <w:r w:rsidR="00DF780C" w:rsidRPr="001C2B22">
        <w:rPr>
          <w:rFonts w:cs="Times New Roman"/>
        </w:rPr>
        <w:t>stating</w:t>
      </w:r>
      <w:proofErr w:type="gramEnd"/>
      <w:r w:rsidR="00DF780C" w:rsidRPr="001C2B22">
        <w:rPr>
          <w:rFonts w:cs="Times New Roman"/>
        </w:rPr>
        <w:t xml:space="preserve"> that </w:t>
      </w:r>
      <w:r w:rsidR="00E41B64">
        <w:rPr>
          <w:rFonts w:cs="Times New Roman"/>
        </w:rPr>
        <w:t>I</w:t>
      </w:r>
      <w:r w:rsidR="00DF780C" w:rsidRPr="001C2B22">
        <w:rPr>
          <w:rFonts w:cs="Times New Roman"/>
        </w:rPr>
        <w:t>nternet search platforms</w:t>
      </w:r>
      <w:r w:rsidR="000B1906">
        <w:rPr>
          <w:rFonts w:cs="Times New Roman"/>
        </w:rPr>
        <w:t>’</w:t>
      </w:r>
      <w:r w:rsidR="00DF780C" w:rsidRPr="001C2B22">
        <w:rPr>
          <w:rFonts w:cs="Times New Roman"/>
        </w:rPr>
        <w:t xml:space="preserve"> </w:t>
      </w:r>
      <w:r w:rsidR="000B1906">
        <w:rPr>
          <w:rFonts w:cs="Times New Roman"/>
        </w:rPr>
        <w:t>“‘</w:t>
      </w:r>
      <w:r w:rsidR="00DF780C" w:rsidRPr="001C2B22">
        <w:rPr>
          <w:rFonts w:cs="Times New Roman"/>
        </w:rPr>
        <w:t>recommendation</w:t>
      </w:r>
      <w:r w:rsidR="000B1906">
        <w:rPr>
          <w:rFonts w:cs="Times New Roman"/>
        </w:rPr>
        <w:t>’</w:t>
      </w:r>
      <w:r w:rsidR="00DF780C" w:rsidRPr="001C2B22">
        <w:rPr>
          <w:rFonts w:cs="Times New Roman"/>
        </w:rPr>
        <w:t xml:space="preserve"> algorithms are merely part of that infrastructure. All the content on their platforms is filtered through these algorithms, which allegedly sort the content by information and inputs provided by users and found in the content itself</w:t>
      </w:r>
      <w:proofErr w:type="gramStart"/>
      <w:r w:rsidR="00DF780C" w:rsidRPr="001C2B22">
        <w:rPr>
          <w:rFonts w:cs="Times New Roman"/>
        </w:rPr>
        <w:t xml:space="preserve">. </w:t>
      </w:r>
      <w:proofErr w:type="gramEnd"/>
      <w:r w:rsidR="00DF780C" w:rsidRPr="001C2B22">
        <w:rPr>
          <w:rFonts w:cs="Times New Roman"/>
        </w:rPr>
        <w:t>As presented here, the algorithms appear agnostic as to the nature of the content.</w:t>
      </w:r>
      <w:r w:rsidR="000B1906">
        <w:rPr>
          <w:rFonts w:cs="Times New Roman"/>
        </w:rPr>
        <w:t>”</w:t>
      </w:r>
      <w:r w:rsidR="00C96280">
        <w:rPr>
          <w:rStyle w:val="FootnoteReference"/>
          <w:rFonts w:cs="Times New Roman"/>
        </w:rPr>
        <w:footnoteReference w:id="26"/>
      </w:r>
      <w:r w:rsidR="00DF780C" w:rsidRPr="001C2B22">
        <w:rPr>
          <w:rFonts w:cs="Times New Roman"/>
        </w:rPr>
        <w:t xml:space="preserve"> </w:t>
      </w:r>
    </w:p>
    <w:p w14:paraId="1BCF7EFF" w14:textId="73D8EF35" w:rsidR="00A3409F" w:rsidRPr="001C2B22" w:rsidRDefault="00391679" w:rsidP="001C2B22">
      <w:pPr>
        <w:pStyle w:val="BodyText"/>
        <w:rPr>
          <w:rFonts w:cs="Times New Roman"/>
        </w:rPr>
      </w:pPr>
      <w:r w:rsidRPr="001C2B22">
        <w:rPr>
          <w:rFonts w:cs="Times New Roman"/>
        </w:rPr>
        <w:t>Second, m</w:t>
      </w:r>
      <w:r w:rsidR="004D3B0D" w:rsidRPr="001C2B22">
        <w:rPr>
          <w:rFonts w:cs="Times New Roman"/>
        </w:rPr>
        <w:t>y article look</w:t>
      </w:r>
      <w:r w:rsidR="00A3409F" w:rsidRPr="001C2B22">
        <w:rPr>
          <w:rFonts w:cs="Times New Roman"/>
        </w:rPr>
        <w:t>s</w:t>
      </w:r>
      <w:r w:rsidR="004D3B0D" w:rsidRPr="001C2B22">
        <w:rPr>
          <w:rFonts w:cs="Times New Roman"/>
        </w:rPr>
        <w:t xml:space="preserve"> to other examples in communications law </w:t>
      </w:r>
      <w:r w:rsidR="005C7591" w:rsidRPr="001C2B22">
        <w:rPr>
          <w:rFonts w:cs="Times New Roman"/>
        </w:rPr>
        <w:t xml:space="preserve">in which, in a broad sense, the government granted certain privileges, </w:t>
      </w:r>
      <w:r w:rsidR="00DA6BD2">
        <w:rPr>
          <w:rFonts w:cs="Times New Roman"/>
        </w:rPr>
        <w:t>such as</w:t>
      </w:r>
      <w:r w:rsidR="00DA6BD2" w:rsidRPr="001C2B22">
        <w:rPr>
          <w:rFonts w:cs="Times New Roman"/>
        </w:rPr>
        <w:t xml:space="preserve"> </w:t>
      </w:r>
      <w:r w:rsidR="00DA6BD2">
        <w:rPr>
          <w:rFonts w:cs="Times New Roman"/>
        </w:rPr>
        <w:t>tolerating monopoly</w:t>
      </w:r>
      <w:r w:rsidR="005C7591" w:rsidRPr="001C2B22">
        <w:rPr>
          <w:rFonts w:cs="Times New Roman"/>
        </w:rPr>
        <w:t>, in exchange for non-discrimination obligations</w:t>
      </w:r>
      <w:r w:rsidR="0036385C" w:rsidRPr="001C2B22">
        <w:rPr>
          <w:rFonts w:cs="Times New Roman"/>
        </w:rPr>
        <w:t xml:space="preserve"> or liability protections</w:t>
      </w:r>
      <w:proofErr w:type="gramStart"/>
      <w:r w:rsidR="005C7591" w:rsidRPr="001C2B22">
        <w:rPr>
          <w:rFonts w:cs="Times New Roman"/>
        </w:rPr>
        <w:t xml:space="preserve">. </w:t>
      </w:r>
      <w:proofErr w:type="gramEnd"/>
      <w:r w:rsidR="009F5638" w:rsidRPr="001C2B22">
        <w:rPr>
          <w:rFonts w:cs="Times New Roman"/>
        </w:rPr>
        <w:t>My examples are network neutrality regulation, the 1992 Cable Act, and broadcast licensing</w:t>
      </w:r>
      <w:proofErr w:type="gramStart"/>
      <w:r w:rsidR="009F5638" w:rsidRPr="001C2B22">
        <w:rPr>
          <w:rFonts w:cs="Times New Roman"/>
        </w:rPr>
        <w:t>.</w:t>
      </w:r>
      <w:r w:rsidR="005C7591" w:rsidRPr="001C2B22">
        <w:rPr>
          <w:rFonts w:cs="Times New Roman"/>
        </w:rPr>
        <w:t xml:space="preserve"> </w:t>
      </w:r>
      <w:proofErr w:type="gramEnd"/>
      <w:r w:rsidR="0036385C" w:rsidRPr="001C2B22">
        <w:rPr>
          <w:rFonts w:cs="Times New Roman"/>
        </w:rPr>
        <w:t xml:space="preserve">I contrast </w:t>
      </w:r>
      <w:r w:rsidR="00F766D4">
        <w:rPr>
          <w:rFonts w:cs="Times New Roman"/>
        </w:rPr>
        <w:t>these examples</w:t>
      </w:r>
      <w:r w:rsidR="00F766D4" w:rsidRPr="001C2B22">
        <w:rPr>
          <w:rFonts w:cs="Times New Roman"/>
        </w:rPr>
        <w:t xml:space="preserve"> </w:t>
      </w:r>
      <w:r w:rsidR="0036385C" w:rsidRPr="001C2B22">
        <w:rPr>
          <w:rFonts w:cs="Times New Roman"/>
        </w:rPr>
        <w:t xml:space="preserve">with </w:t>
      </w:r>
      <w:r w:rsidR="00C41830" w:rsidRPr="001C2B22">
        <w:rPr>
          <w:rFonts w:cs="Times New Roman"/>
        </w:rPr>
        <w:t>S</w:t>
      </w:r>
      <w:r w:rsidR="0036385C" w:rsidRPr="001C2B22">
        <w:rPr>
          <w:rFonts w:cs="Times New Roman"/>
        </w:rPr>
        <w:t xml:space="preserve">ection 230 of the Communications Act of 1934, which offers all carrot and no stick, relieving the </w:t>
      </w:r>
      <w:r w:rsidR="00E41B64">
        <w:rPr>
          <w:rFonts w:cs="Times New Roman"/>
        </w:rPr>
        <w:t>I</w:t>
      </w:r>
      <w:r w:rsidR="0036385C" w:rsidRPr="001C2B22">
        <w:rPr>
          <w:rFonts w:cs="Times New Roman"/>
        </w:rPr>
        <w:t>nternet platforms of liability in exchange for no corresponding public benefit</w:t>
      </w:r>
      <w:proofErr w:type="gramStart"/>
      <w:r w:rsidR="0036385C" w:rsidRPr="001C2B22">
        <w:rPr>
          <w:rFonts w:cs="Times New Roman"/>
        </w:rPr>
        <w:t xml:space="preserve">. </w:t>
      </w:r>
      <w:proofErr w:type="gramEnd"/>
      <w:r w:rsidR="00FA1388" w:rsidRPr="001C2B22">
        <w:rPr>
          <w:rFonts w:cs="Times New Roman"/>
          <w:i/>
          <w:iCs/>
        </w:rPr>
        <w:t>Regulatory Implications</w:t>
      </w:r>
      <w:r w:rsidR="005C7591" w:rsidRPr="001C2B22">
        <w:rPr>
          <w:rFonts w:cs="Times New Roman"/>
        </w:rPr>
        <w:t xml:space="preserve"> claims that </w:t>
      </w:r>
      <w:r w:rsidR="000B1906">
        <w:rPr>
          <w:rFonts w:cs="Times New Roman"/>
        </w:rPr>
        <w:t>“</w:t>
      </w:r>
      <w:proofErr w:type="spellStart"/>
      <w:r w:rsidR="005C7591" w:rsidRPr="001C2B22">
        <w:rPr>
          <w:rFonts w:cs="Times New Roman"/>
        </w:rPr>
        <w:t>Candeub</w:t>
      </w:r>
      <w:proofErr w:type="spellEnd"/>
      <w:r w:rsidR="005C7591" w:rsidRPr="001C2B22">
        <w:rPr>
          <w:rFonts w:cs="Times New Roman"/>
        </w:rPr>
        <w:t xml:space="preserve"> misstated the law, but his analogies are uniformly inapposite</w:t>
      </w:r>
      <w:r w:rsidR="000B1906">
        <w:rPr>
          <w:rFonts w:cs="Times New Roman"/>
        </w:rPr>
        <w:t>”</w:t>
      </w:r>
      <w:r w:rsidR="005C7591" w:rsidRPr="001C2B22">
        <w:rPr>
          <w:rFonts w:cs="Times New Roman"/>
        </w:rPr>
        <w:t xml:space="preserve"> </w:t>
      </w:r>
      <w:r w:rsidR="00E03E94" w:rsidRPr="001C2B22">
        <w:rPr>
          <w:rFonts w:cs="Times New Roman"/>
        </w:rPr>
        <w:t xml:space="preserve">and </w:t>
      </w:r>
      <w:r w:rsidR="009F5638" w:rsidRPr="001C2B22">
        <w:rPr>
          <w:rFonts w:cs="Times New Roman"/>
        </w:rPr>
        <w:t xml:space="preserve">tries to show how each analogy is </w:t>
      </w:r>
      <w:r w:rsidR="000B1906">
        <w:rPr>
          <w:rFonts w:cs="Times New Roman"/>
        </w:rPr>
        <w:t>“</w:t>
      </w:r>
      <w:r w:rsidR="009F5638" w:rsidRPr="001C2B22">
        <w:rPr>
          <w:rFonts w:cs="Times New Roman"/>
        </w:rPr>
        <w:t>inapposite.</w:t>
      </w:r>
      <w:r w:rsidR="000B1906">
        <w:rPr>
          <w:rFonts w:cs="Times New Roman"/>
        </w:rPr>
        <w:t>”</w:t>
      </w:r>
      <w:r w:rsidR="00D26988" w:rsidRPr="001C2B22">
        <w:rPr>
          <w:rStyle w:val="FootnoteReference"/>
          <w:rFonts w:cs="Times New Roman"/>
        </w:rPr>
        <w:footnoteReference w:id="27"/>
      </w:r>
      <w:r w:rsidR="00C96280">
        <w:rPr>
          <w:rFonts w:cs="Times New Roman"/>
        </w:rPr>
        <w:t xml:space="preserve"> </w:t>
      </w:r>
    </w:p>
    <w:p w14:paraId="04C2D0F6" w14:textId="2514F00A" w:rsidR="00923819" w:rsidRDefault="00A3409F" w:rsidP="001C2B22">
      <w:pPr>
        <w:pStyle w:val="BodyText"/>
        <w:rPr>
          <w:rFonts w:cs="Times New Roman"/>
        </w:rPr>
      </w:pPr>
      <w:r w:rsidRPr="001C2B22">
        <w:rPr>
          <w:rFonts w:cs="Times New Roman"/>
        </w:rPr>
        <w:t>T</w:t>
      </w:r>
      <w:r w:rsidR="00923819" w:rsidRPr="001C2B22">
        <w:rPr>
          <w:rFonts w:cs="Times New Roman"/>
        </w:rPr>
        <w:t>he FCC</w:t>
      </w:r>
      <w:r w:rsidR="000B1906">
        <w:rPr>
          <w:rFonts w:cs="Times New Roman"/>
        </w:rPr>
        <w:t>’</w:t>
      </w:r>
      <w:r w:rsidR="00923819" w:rsidRPr="001C2B22">
        <w:rPr>
          <w:rFonts w:cs="Times New Roman"/>
        </w:rPr>
        <w:t xml:space="preserve">s 2015 network neutrality order that reclassified broadband access as </w:t>
      </w:r>
      <w:r w:rsidR="0036385C" w:rsidRPr="001C2B22">
        <w:rPr>
          <w:rFonts w:cs="Times New Roman"/>
        </w:rPr>
        <w:t xml:space="preserve">a </w:t>
      </w:r>
      <w:r w:rsidR="00923819" w:rsidRPr="001C2B22">
        <w:rPr>
          <w:rFonts w:cs="Times New Roman"/>
        </w:rPr>
        <w:t xml:space="preserve">common carrier and imposed minimal non-discrimination </w:t>
      </w:r>
      <w:r w:rsidR="00923819" w:rsidRPr="001C2B22">
        <w:rPr>
          <w:rFonts w:cs="Times New Roman"/>
        </w:rPr>
        <w:lastRenderedPageBreak/>
        <w:t>requireme</w:t>
      </w:r>
      <w:r w:rsidR="0036385C" w:rsidRPr="001C2B22">
        <w:rPr>
          <w:rFonts w:cs="Times New Roman"/>
        </w:rPr>
        <w:t>n</w:t>
      </w:r>
      <w:r w:rsidR="00923819" w:rsidRPr="001C2B22">
        <w:rPr>
          <w:rFonts w:cs="Times New Roman"/>
        </w:rPr>
        <w:t>ts—</w:t>
      </w:r>
      <w:r w:rsidR="0036385C" w:rsidRPr="001C2B22">
        <w:rPr>
          <w:rFonts w:cs="Times New Roman"/>
        </w:rPr>
        <w:t xml:space="preserve">is </w:t>
      </w:r>
      <w:r w:rsidR="00923819" w:rsidRPr="001C2B22">
        <w:rPr>
          <w:rFonts w:cs="Times New Roman"/>
        </w:rPr>
        <w:t>a typical common carrier-type regulation.</w:t>
      </w:r>
      <w:r w:rsidR="00FA1388" w:rsidRPr="001C2B22">
        <w:rPr>
          <w:rStyle w:val="FootnoteReference"/>
          <w:rFonts w:cs="Times New Roman"/>
        </w:rPr>
        <w:footnoteReference w:id="28"/>
      </w:r>
      <w:r w:rsidR="00923819" w:rsidRPr="001C2B22">
        <w:rPr>
          <w:rFonts w:cs="Times New Roman"/>
        </w:rPr>
        <w:t xml:space="preserve"> </w:t>
      </w:r>
      <w:r w:rsidR="00FA1388" w:rsidRPr="001C2B22">
        <w:rPr>
          <w:rFonts w:cs="Times New Roman"/>
          <w:i/>
          <w:iCs/>
        </w:rPr>
        <w:t>Regulatory Implications</w:t>
      </w:r>
      <w:r w:rsidR="00923819" w:rsidRPr="001C2B22">
        <w:rPr>
          <w:rFonts w:cs="Times New Roman"/>
        </w:rPr>
        <w:t xml:space="preserve"> claims that network neutrality is not an example of a regulatory deal because the FCC forb</w:t>
      </w:r>
      <w:r w:rsidR="0036385C" w:rsidRPr="001C2B22">
        <w:rPr>
          <w:rFonts w:cs="Times New Roman"/>
        </w:rPr>
        <w:t>ore</w:t>
      </w:r>
      <w:r w:rsidR="00923819" w:rsidRPr="001C2B22">
        <w:rPr>
          <w:rFonts w:cs="Times New Roman"/>
        </w:rPr>
        <w:t xml:space="preserve"> from Title II</w:t>
      </w:r>
      <w:r w:rsidR="000B1906">
        <w:rPr>
          <w:rFonts w:cs="Times New Roman"/>
        </w:rPr>
        <w:t>’</w:t>
      </w:r>
      <w:r w:rsidR="00923819" w:rsidRPr="001C2B22">
        <w:rPr>
          <w:rFonts w:cs="Times New Roman"/>
        </w:rPr>
        <w:t xml:space="preserve">s more burdensome public utility-type regulation and therefore the </w:t>
      </w:r>
      <w:r w:rsidR="000B1906">
        <w:rPr>
          <w:rFonts w:cs="Times New Roman"/>
        </w:rPr>
        <w:t>“</w:t>
      </w:r>
      <w:r w:rsidR="00923819" w:rsidRPr="001C2B22">
        <w:rPr>
          <w:rFonts w:cs="Times New Roman"/>
        </w:rPr>
        <w:t>FCC</w:t>
      </w:r>
      <w:r w:rsidR="000B1906">
        <w:rPr>
          <w:rFonts w:cs="Times New Roman"/>
        </w:rPr>
        <w:t>’</w:t>
      </w:r>
      <w:r w:rsidR="00923819" w:rsidRPr="001C2B22">
        <w:rPr>
          <w:rFonts w:cs="Times New Roman"/>
        </w:rPr>
        <w:t>s reclassification strategy was more jurisdiction</w:t>
      </w:r>
      <w:r w:rsidR="0036385C" w:rsidRPr="001C2B22">
        <w:rPr>
          <w:rFonts w:cs="Times New Roman"/>
        </w:rPr>
        <w:t>al</w:t>
      </w:r>
      <w:r w:rsidR="00923819" w:rsidRPr="001C2B22">
        <w:rPr>
          <w:rFonts w:cs="Times New Roman"/>
        </w:rPr>
        <w:t xml:space="preserve"> than philosophical.</w:t>
      </w:r>
      <w:r w:rsidR="000B1906">
        <w:rPr>
          <w:rFonts w:cs="Times New Roman"/>
        </w:rPr>
        <w:t>”</w:t>
      </w:r>
      <w:r w:rsidR="00923819" w:rsidRPr="001C2B22">
        <w:rPr>
          <w:rFonts w:cs="Times New Roman"/>
        </w:rPr>
        <w:t xml:space="preserve"> </w:t>
      </w:r>
      <w:proofErr w:type="gramStart"/>
      <w:r w:rsidR="00FA1388" w:rsidRPr="001C2B22">
        <w:rPr>
          <w:rFonts w:cs="Times New Roman"/>
        </w:rPr>
        <w:t>It</w:t>
      </w:r>
      <w:r w:rsidR="000B1906">
        <w:rPr>
          <w:rFonts w:cs="Times New Roman"/>
        </w:rPr>
        <w:t>’</w:t>
      </w:r>
      <w:r w:rsidR="00FA1388" w:rsidRPr="001C2B22">
        <w:rPr>
          <w:rFonts w:cs="Times New Roman"/>
        </w:rPr>
        <w:t>s</w:t>
      </w:r>
      <w:proofErr w:type="gramEnd"/>
      <w:r w:rsidR="00FA1388" w:rsidRPr="001C2B22">
        <w:rPr>
          <w:rFonts w:cs="Times New Roman"/>
        </w:rPr>
        <w:t xml:space="preserve"> not clear what this means;</w:t>
      </w:r>
      <w:r w:rsidR="00C96280">
        <w:rPr>
          <w:rFonts w:cs="Times New Roman"/>
        </w:rPr>
        <w:t xml:space="preserve"> </w:t>
      </w:r>
      <w:r w:rsidR="00C41767" w:rsidRPr="001C2B22">
        <w:rPr>
          <w:rFonts w:cs="Times New Roman"/>
        </w:rPr>
        <w:t xml:space="preserve">perhaps </w:t>
      </w:r>
      <w:r w:rsidR="00A57C8B" w:rsidRPr="001C2B22">
        <w:rPr>
          <w:rFonts w:cs="Times New Roman"/>
        </w:rPr>
        <w:t>the claim is</w:t>
      </w:r>
      <w:r w:rsidR="00C41767" w:rsidRPr="001C2B22">
        <w:rPr>
          <w:rFonts w:cs="Times New Roman"/>
        </w:rPr>
        <w:t xml:space="preserve"> correc</w:t>
      </w:r>
      <w:r w:rsidR="00917542" w:rsidRPr="001C2B22">
        <w:rPr>
          <w:rFonts w:cs="Times New Roman"/>
        </w:rPr>
        <w:t>t, but I</w:t>
      </w:r>
      <w:r w:rsidR="000B1906">
        <w:rPr>
          <w:rFonts w:cs="Times New Roman"/>
        </w:rPr>
        <w:t>’</w:t>
      </w:r>
      <w:r w:rsidR="00917542" w:rsidRPr="001C2B22">
        <w:rPr>
          <w:rFonts w:cs="Times New Roman"/>
        </w:rPr>
        <w:t xml:space="preserve">m not sure what a </w:t>
      </w:r>
      <w:r w:rsidR="000B1906">
        <w:rPr>
          <w:rFonts w:cs="Times New Roman"/>
        </w:rPr>
        <w:t>“</w:t>
      </w:r>
      <w:r w:rsidR="00917542" w:rsidRPr="001C2B22">
        <w:rPr>
          <w:rFonts w:cs="Times New Roman"/>
        </w:rPr>
        <w:t>philosophical reclassification strategy</w:t>
      </w:r>
      <w:r w:rsidR="000B1906">
        <w:rPr>
          <w:rFonts w:cs="Times New Roman"/>
        </w:rPr>
        <w:t>”</w:t>
      </w:r>
      <w:r w:rsidR="00917542" w:rsidRPr="001C2B22">
        <w:rPr>
          <w:rFonts w:cs="Times New Roman"/>
        </w:rPr>
        <w:t xml:space="preserve"> is</w:t>
      </w:r>
      <w:r w:rsidR="00391679" w:rsidRPr="001C2B22">
        <w:rPr>
          <w:rFonts w:cs="Times New Roman"/>
        </w:rPr>
        <w:t>, however.</w:t>
      </w:r>
      <w:r w:rsidR="00923819" w:rsidRPr="001C2B22">
        <w:rPr>
          <w:rFonts w:cs="Times New Roman"/>
        </w:rPr>
        <w:t xml:space="preserve"> </w:t>
      </w:r>
    </w:p>
    <w:p w14:paraId="7ED6A443" w14:textId="4C3CEF19" w:rsidR="00F219FC" w:rsidRDefault="1BBF6054" w:rsidP="001C2B22">
      <w:pPr>
        <w:pStyle w:val="BodyText"/>
        <w:rPr>
          <w:rFonts w:cs="Times New Roman"/>
        </w:rPr>
      </w:pPr>
      <w:r w:rsidRPr="001C2B22">
        <w:rPr>
          <w:rFonts w:cs="Times New Roman"/>
          <w:i/>
          <w:iCs/>
        </w:rPr>
        <w:t>Regulatory Implications</w:t>
      </w:r>
      <w:r w:rsidR="09026B47" w:rsidRPr="001C2B22">
        <w:rPr>
          <w:rFonts w:cs="Times New Roman"/>
          <w:i/>
          <w:iCs/>
        </w:rPr>
        <w:t xml:space="preserve"> </w:t>
      </w:r>
      <w:r w:rsidR="6FA98C49" w:rsidRPr="001C2B22">
        <w:rPr>
          <w:rFonts w:cs="Times New Roman"/>
        </w:rPr>
        <w:t>argues that network neutrality is a type of price regulation</w:t>
      </w:r>
      <w:proofErr w:type="gramStart"/>
      <w:r w:rsidR="6FA98C49" w:rsidRPr="001C2B22">
        <w:rPr>
          <w:rFonts w:cs="Times New Roman"/>
        </w:rPr>
        <w:t xml:space="preserve">. </w:t>
      </w:r>
      <w:proofErr w:type="gramEnd"/>
      <w:r w:rsidR="6FA98C49" w:rsidRPr="001C2B22">
        <w:rPr>
          <w:rFonts w:cs="Times New Roman"/>
        </w:rPr>
        <w:t>Fair enough</w:t>
      </w:r>
      <w:proofErr w:type="gramStart"/>
      <w:r w:rsidR="6FA98C49" w:rsidRPr="001C2B22">
        <w:rPr>
          <w:rFonts w:cs="Times New Roman"/>
        </w:rPr>
        <w:t xml:space="preserve">. </w:t>
      </w:r>
      <w:proofErr w:type="gramEnd"/>
      <w:r w:rsidR="6FA98C49" w:rsidRPr="001C2B22">
        <w:rPr>
          <w:rFonts w:cs="Times New Roman"/>
        </w:rPr>
        <w:t xml:space="preserve">It sets traffic interconnection rates at </w:t>
      </w:r>
      <w:r w:rsidR="001C2B22" w:rsidRPr="001C2B22">
        <w:rPr>
          <w:rFonts w:cs="Times New Roman"/>
        </w:rPr>
        <w:t>zero</w:t>
      </w:r>
      <w:r w:rsidR="7115E15F" w:rsidRPr="001C2B22">
        <w:rPr>
          <w:rFonts w:cs="Times New Roman"/>
        </w:rPr>
        <w:t xml:space="preserve">—and that from a public utility </w:t>
      </w:r>
      <w:r w:rsidR="35A828B6" w:rsidRPr="001C2B22">
        <w:rPr>
          <w:rFonts w:cs="Times New Roman"/>
        </w:rPr>
        <w:t>pricing</w:t>
      </w:r>
      <w:r w:rsidR="5CD2A5C4" w:rsidRPr="001C2B22">
        <w:rPr>
          <w:rFonts w:cs="Times New Roman"/>
        </w:rPr>
        <w:t xml:space="preserve"> </w:t>
      </w:r>
      <w:r w:rsidR="7115E15F" w:rsidRPr="001C2B22">
        <w:rPr>
          <w:rFonts w:cs="Times New Roman"/>
        </w:rPr>
        <w:t xml:space="preserve">perspective </w:t>
      </w:r>
      <w:r w:rsidR="11BCCA07" w:rsidRPr="001C2B22">
        <w:rPr>
          <w:rFonts w:cs="Times New Roman"/>
        </w:rPr>
        <w:t xml:space="preserve">may </w:t>
      </w:r>
      <w:r w:rsidR="7115E15F" w:rsidRPr="001C2B22">
        <w:rPr>
          <w:rFonts w:cs="Times New Roman"/>
        </w:rPr>
        <w:t xml:space="preserve">not </w:t>
      </w:r>
      <w:r w:rsidR="11BCCA07" w:rsidRPr="001C2B22">
        <w:rPr>
          <w:rFonts w:cs="Times New Roman"/>
        </w:rPr>
        <w:t xml:space="preserve">be </w:t>
      </w:r>
      <w:r w:rsidR="7115E15F" w:rsidRPr="001C2B22">
        <w:rPr>
          <w:rFonts w:cs="Times New Roman"/>
        </w:rPr>
        <w:t>a justified move</w:t>
      </w:r>
      <w:proofErr w:type="gramStart"/>
      <w:r w:rsidR="6FA98C49" w:rsidRPr="001C2B22">
        <w:rPr>
          <w:rFonts w:cs="Times New Roman"/>
        </w:rPr>
        <w:t xml:space="preserve">. </w:t>
      </w:r>
      <w:proofErr w:type="gramEnd"/>
      <w:r w:rsidR="5CD2A5C4" w:rsidRPr="001C2B22">
        <w:rPr>
          <w:rFonts w:cs="Times New Roman"/>
        </w:rPr>
        <w:t>Agreed</w:t>
      </w:r>
      <w:proofErr w:type="gramStart"/>
      <w:r w:rsidR="6FA98C49" w:rsidRPr="001C2B22">
        <w:rPr>
          <w:rFonts w:cs="Times New Roman"/>
        </w:rPr>
        <w:t xml:space="preserve">. </w:t>
      </w:r>
      <w:proofErr w:type="gramEnd"/>
      <w:r w:rsidR="00F2114D">
        <w:rPr>
          <w:rFonts w:cs="Times New Roman"/>
        </w:rPr>
        <w:t xml:space="preserve">Of course, the application of the argument is someone lessened given that modern networks do, indeed, have marginal termination rates that are close to zero—a fact </w:t>
      </w:r>
      <w:r w:rsidR="00560EB4">
        <w:rPr>
          <w:rFonts w:cs="Times New Roman"/>
        </w:rPr>
        <w:t>that</w:t>
      </w:r>
      <w:r w:rsidR="00F2114D">
        <w:rPr>
          <w:rFonts w:cs="Times New Roman"/>
        </w:rPr>
        <w:t xml:space="preserve"> recipro</w:t>
      </w:r>
      <w:r w:rsidR="00F219FC">
        <w:rPr>
          <w:rFonts w:cs="Times New Roman"/>
        </w:rPr>
        <w:t xml:space="preserve">cal compensation </w:t>
      </w:r>
      <w:r w:rsidR="00560EB4">
        <w:rPr>
          <w:rFonts w:cs="Times New Roman"/>
        </w:rPr>
        <w:t>under Section 251 of the Telecommunications Act</w:t>
      </w:r>
      <w:r w:rsidR="00F219FC">
        <w:rPr>
          <w:rFonts w:cs="Times New Roman"/>
        </w:rPr>
        <w:t xml:space="preserve"> revealed decades ago</w:t>
      </w:r>
      <w:r w:rsidR="00F2114D">
        <w:rPr>
          <w:rFonts w:cs="Times New Roman"/>
        </w:rPr>
        <w:t>.</w:t>
      </w:r>
      <w:r w:rsidR="00F4094F">
        <w:rPr>
          <w:rStyle w:val="FootnoteReference"/>
          <w:rFonts w:cs="Times New Roman"/>
        </w:rPr>
        <w:footnoteReference w:id="29"/>
      </w:r>
      <w:r w:rsidR="00F2114D">
        <w:rPr>
          <w:rFonts w:cs="Times New Roman"/>
        </w:rPr>
        <w:t xml:space="preserve"> </w:t>
      </w:r>
    </w:p>
    <w:p w14:paraId="76A43C97" w14:textId="348D911D" w:rsidR="00753A49" w:rsidRPr="001C2B22" w:rsidRDefault="00F219FC" w:rsidP="00F4094F">
      <w:pPr>
        <w:pStyle w:val="BodyText"/>
        <w:rPr>
          <w:rFonts w:cs="Times New Roman"/>
        </w:rPr>
      </w:pPr>
      <w:r>
        <w:rPr>
          <w:rFonts w:cs="Times New Roman"/>
        </w:rPr>
        <w:t>But</w:t>
      </w:r>
      <w:r w:rsidR="00F4094F">
        <w:rPr>
          <w:rFonts w:cs="Times New Roman"/>
        </w:rPr>
        <w:t xml:space="preserve"> then</w:t>
      </w:r>
      <w:r w:rsidR="6FA98C49" w:rsidRPr="001C2B22">
        <w:rPr>
          <w:rFonts w:cs="Times New Roman"/>
        </w:rPr>
        <w:t xml:space="preserve"> </w:t>
      </w:r>
      <w:r w:rsidR="6FA98C49" w:rsidRPr="001C2B22">
        <w:rPr>
          <w:rFonts w:cs="Times New Roman"/>
          <w:i/>
          <w:iCs/>
        </w:rPr>
        <w:t>Regulatory Implications</w:t>
      </w:r>
      <w:r w:rsidR="006C3B55" w:rsidRPr="001C2B22">
        <w:rPr>
          <w:rFonts w:cs="Times New Roman"/>
        </w:rPr>
        <w:t xml:space="preserve"> </w:t>
      </w:r>
      <w:r w:rsidR="6FA98C49" w:rsidRPr="001C2B22">
        <w:rPr>
          <w:rFonts w:cs="Times New Roman"/>
        </w:rPr>
        <w:t xml:space="preserve">argues that my article </w:t>
      </w:r>
      <w:proofErr w:type="gramStart"/>
      <w:r w:rsidR="6FA98C49" w:rsidRPr="001C2B22">
        <w:rPr>
          <w:rFonts w:cs="Times New Roman"/>
        </w:rPr>
        <w:t>failed to</w:t>
      </w:r>
      <w:proofErr w:type="gramEnd"/>
      <w:r w:rsidR="6FA98C49" w:rsidRPr="001C2B22">
        <w:rPr>
          <w:rFonts w:cs="Times New Roman"/>
        </w:rPr>
        <w:t xml:space="preserve"> deal with the fact that </w:t>
      </w:r>
      <w:r w:rsidR="59545FA0" w:rsidRPr="001C2B22">
        <w:rPr>
          <w:rFonts w:cs="Times New Roman"/>
        </w:rPr>
        <w:t xml:space="preserve">the Act only prohibits </w:t>
      </w:r>
      <w:r w:rsidR="000B1906">
        <w:rPr>
          <w:rFonts w:cs="Times New Roman"/>
        </w:rPr>
        <w:t>“</w:t>
      </w:r>
      <w:r w:rsidR="6FA98C49" w:rsidRPr="001C2B22">
        <w:rPr>
          <w:rFonts w:cs="Times New Roman"/>
        </w:rPr>
        <w:t>unjust and unreasonable</w:t>
      </w:r>
      <w:r w:rsidR="000B1906">
        <w:rPr>
          <w:rFonts w:cs="Times New Roman"/>
        </w:rPr>
        <w:t>”</w:t>
      </w:r>
      <w:r w:rsidR="6FA98C49" w:rsidRPr="001C2B22">
        <w:rPr>
          <w:rFonts w:cs="Times New Roman"/>
        </w:rPr>
        <w:t xml:space="preserve"> </w:t>
      </w:r>
      <w:r w:rsidR="7115E15F" w:rsidRPr="001C2B22">
        <w:rPr>
          <w:rFonts w:cs="Times New Roman"/>
        </w:rPr>
        <w:t>discriminatio</w:t>
      </w:r>
      <w:r w:rsidR="00F4094F">
        <w:rPr>
          <w:rFonts w:cs="Times New Roman"/>
        </w:rPr>
        <w:t xml:space="preserve">n—and that </w:t>
      </w:r>
      <w:r w:rsidR="01631E9A" w:rsidRPr="001C2B22">
        <w:rPr>
          <w:rFonts w:cs="Times New Roman"/>
        </w:rPr>
        <w:t xml:space="preserve">standard </w:t>
      </w:r>
      <w:r w:rsidR="59545FA0" w:rsidRPr="001C2B22">
        <w:rPr>
          <w:rFonts w:cs="Times New Roman"/>
        </w:rPr>
        <w:t>can</w:t>
      </w:r>
      <w:r w:rsidR="01631E9A" w:rsidRPr="001C2B22">
        <w:rPr>
          <w:rFonts w:cs="Times New Roman"/>
        </w:rPr>
        <w:t>not be applied to social media</w:t>
      </w:r>
      <w:r w:rsidR="6FA98C49" w:rsidRPr="001C2B22">
        <w:rPr>
          <w:rFonts w:cs="Times New Roman"/>
        </w:rPr>
        <w:t>.</w:t>
      </w:r>
      <w:r w:rsidR="00F4094F">
        <w:rPr>
          <w:rFonts w:cs="Times New Roman"/>
        </w:rPr>
        <w:t xml:space="preserve"> </w:t>
      </w:r>
      <w:r w:rsidR="00042B9F" w:rsidRPr="001C2B22">
        <w:rPr>
          <w:rFonts w:cs="Times New Roman"/>
        </w:rPr>
        <w:t xml:space="preserve">Well, </w:t>
      </w:r>
      <w:r w:rsidR="00D36A6E" w:rsidRPr="001C2B22">
        <w:rPr>
          <w:rFonts w:cs="Times New Roman"/>
        </w:rPr>
        <w:t xml:space="preserve">regardless of the application of the Communications Act of 1934 to H.B. 20 (and there is none), it is true that common carrier </w:t>
      </w:r>
      <w:r w:rsidR="0064047B" w:rsidRPr="001C2B22">
        <w:rPr>
          <w:rFonts w:cs="Times New Roman"/>
        </w:rPr>
        <w:t xml:space="preserve">and public utility </w:t>
      </w:r>
      <w:r w:rsidR="00D36A6E" w:rsidRPr="001C2B22">
        <w:rPr>
          <w:rFonts w:cs="Times New Roman"/>
        </w:rPr>
        <w:t xml:space="preserve">law </w:t>
      </w:r>
      <w:r w:rsidR="00C41767" w:rsidRPr="001C2B22">
        <w:rPr>
          <w:rFonts w:cs="Times New Roman"/>
        </w:rPr>
        <w:t>certainly</w:t>
      </w:r>
      <w:r w:rsidR="00D36A6E" w:rsidRPr="001C2B22">
        <w:rPr>
          <w:rFonts w:cs="Times New Roman"/>
        </w:rPr>
        <w:t xml:space="preserve"> allow </w:t>
      </w:r>
      <w:r w:rsidR="000B1906">
        <w:rPr>
          <w:rFonts w:cs="Times New Roman"/>
        </w:rPr>
        <w:t>“</w:t>
      </w:r>
      <w:r w:rsidR="00D36A6E" w:rsidRPr="001C2B22">
        <w:rPr>
          <w:rFonts w:cs="Times New Roman"/>
        </w:rPr>
        <w:t>reasonable</w:t>
      </w:r>
      <w:r w:rsidR="000B1906">
        <w:rPr>
          <w:rFonts w:cs="Times New Roman"/>
        </w:rPr>
        <w:t>”</w:t>
      </w:r>
      <w:r w:rsidR="00D36A6E" w:rsidRPr="001C2B22">
        <w:rPr>
          <w:rFonts w:cs="Times New Roman"/>
        </w:rPr>
        <w:t xml:space="preserve"> discrimination based on different services</w:t>
      </w:r>
      <w:proofErr w:type="gramStart"/>
      <w:r w:rsidR="00D36A6E" w:rsidRPr="001C2B22">
        <w:rPr>
          <w:rFonts w:cs="Times New Roman"/>
        </w:rPr>
        <w:t xml:space="preserve">. </w:t>
      </w:r>
      <w:proofErr w:type="gramEnd"/>
      <w:r w:rsidR="00D36A6E" w:rsidRPr="001C2B22">
        <w:rPr>
          <w:rFonts w:cs="Times New Roman"/>
          <w:i/>
          <w:iCs/>
        </w:rPr>
        <w:t xml:space="preserve">Regulatory Implications </w:t>
      </w:r>
      <w:r w:rsidR="00D36A6E" w:rsidRPr="001C2B22">
        <w:rPr>
          <w:rFonts w:cs="Times New Roman"/>
        </w:rPr>
        <w:t xml:space="preserve">correctly </w:t>
      </w:r>
      <w:r w:rsidR="004E0112" w:rsidRPr="001C2B22">
        <w:rPr>
          <w:rFonts w:cs="Times New Roman"/>
        </w:rPr>
        <w:t>point</w:t>
      </w:r>
      <w:r w:rsidR="00D36A6E" w:rsidRPr="001C2B22">
        <w:rPr>
          <w:rFonts w:cs="Times New Roman"/>
        </w:rPr>
        <w:t xml:space="preserve">s </w:t>
      </w:r>
      <w:r w:rsidR="004E0112" w:rsidRPr="001C2B22">
        <w:rPr>
          <w:rFonts w:cs="Times New Roman"/>
        </w:rPr>
        <w:t xml:space="preserve">to </w:t>
      </w:r>
      <w:r w:rsidR="004E0112" w:rsidRPr="001C2B22">
        <w:rPr>
          <w:rFonts w:cs="Times New Roman"/>
          <w:i/>
          <w:iCs/>
        </w:rPr>
        <w:t>Orloff</w:t>
      </w:r>
      <w:r w:rsidR="00E03E94" w:rsidRPr="001C2B22">
        <w:rPr>
          <w:rFonts w:cs="Times New Roman"/>
          <w:i/>
          <w:iCs/>
        </w:rPr>
        <w:t xml:space="preserve"> v. FCC</w:t>
      </w:r>
      <w:r w:rsidR="0064047B" w:rsidRPr="001C2B22">
        <w:rPr>
          <w:rFonts w:cs="Times New Roman"/>
        </w:rPr>
        <w:t xml:space="preserve"> as an example of a case examining the </w:t>
      </w:r>
      <w:r w:rsidR="000B1906">
        <w:rPr>
          <w:rFonts w:cs="Times New Roman"/>
        </w:rPr>
        <w:t>“</w:t>
      </w:r>
      <w:r w:rsidR="0064047B" w:rsidRPr="001C2B22">
        <w:rPr>
          <w:rFonts w:cs="Times New Roman"/>
        </w:rPr>
        <w:t>reasonable discrimination</w:t>
      </w:r>
      <w:r w:rsidR="000B1906">
        <w:rPr>
          <w:rFonts w:cs="Times New Roman"/>
        </w:rPr>
        <w:t>”</w:t>
      </w:r>
      <w:r w:rsidR="0064047B" w:rsidRPr="001C2B22">
        <w:rPr>
          <w:rFonts w:cs="Times New Roman"/>
        </w:rPr>
        <w:t xml:space="preserve"> principle</w:t>
      </w:r>
      <w:r w:rsidR="00753A49" w:rsidRPr="001C2B22">
        <w:rPr>
          <w:rFonts w:cs="Times New Roman"/>
          <w:i/>
          <w:iCs/>
        </w:rPr>
        <w:t>.</w:t>
      </w:r>
      <w:r w:rsidR="00E03E94" w:rsidRPr="001C2B22">
        <w:rPr>
          <w:rStyle w:val="FootnoteReference"/>
          <w:rFonts w:cs="Times New Roman"/>
        </w:rPr>
        <w:footnoteReference w:id="30"/>
      </w:r>
      <w:r w:rsidR="00C96280">
        <w:rPr>
          <w:rFonts w:cs="Times New Roman"/>
        </w:rPr>
        <w:t xml:space="preserve"> </w:t>
      </w:r>
      <w:r w:rsidR="00753A49" w:rsidRPr="001C2B22">
        <w:rPr>
          <w:rFonts w:cs="Times New Roman"/>
        </w:rPr>
        <w:t>This</w:t>
      </w:r>
      <w:r w:rsidR="00D056CA" w:rsidRPr="001C2B22">
        <w:rPr>
          <w:rFonts w:cs="Times New Roman"/>
          <w:i/>
          <w:iCs/>
        </w:rPr>
        <w:t xml:space="preserve"> </w:t>
      </w:r>
      <w:r w:rsidR="00D056CA" w:rsidRPr="001C2B22">
        <w:rPr>
          <w:rFonts w:cs="Times New Roman"/>
        </w:rPr>
        <w:t xml:space="preserve">case allowed Verizon to offer different cell phone </w:t>
      </w:r>
      <w:r w:rsidR="005D2F5E" w:rsidRPr="001C2B22">
        <w:rPr>
          <w:rFonts w:cs="Times New Roman"/>
        </w:rPr>
        <w:t>plans</w:t>
      </w:r>
      <w:r w:rsidR="00D056CA" w:rsidRPr="001C2B22">
        <w:rPr>
          <w:rFonts w:cs="Times New Roman"/>
        </w:rPr>
        <w:t xml:space="preserve"> to different customers.</w:t>
      </w:r>
      <w:r w:rsidR="00E03E94" w:rsidRPr="001C2B22">
        <w:rPr>
          <w:rStyle w:val="FootnoteReference"/>
          <w:rFonts w:cs="Times New Roman"/>
        </w:rPr>
        <w:footnoteReference w:id="31"/>
      </w:r>
    </w:p>
    <w:p w14:paraId="19A1F8BE" w14:textId="7D3DC320" w:rsidR="00D056CA" w:rsidRPr="001C2B22" w:rsidRDefault="002006D8" w:rsidP="001C2B22">
      <w:pPr>
        <w:pStyle w:val="BodyText"/>
        <w:rPr>
          <w:rFonts w:cs="Times New Roman"/>
        </w:rPr>
      </w:pPr>
      <w:r>
        <w:rPr>
          <w:rFonts w:cs="Times New Roman"/>
        </w:rPr>
        <w:t>And,</w:t>
      </w:r>
      <w:r w:rsidR="00237393">
        <w:rPr>
          <w:rFonts w:cs="Times New Roman"/>
        </w:rPr>
        <w:t xml:space="preserve"> here,</w:t>
      </w:r>
      <w:r w:rsidR="00753A49" w:rsidRPr="001C2B22">
        <w:rPr>
          <w:rFonts w:cs="Times New Roman"/>
        </w:rPr>
        <w:t xml:space="preserve"> </w:t>
      </w:r>
      <w:r w:rsidR="00D36A6E" w:rsidRPr="001C2B22">
        <w:rPr>
          <w:rFonts w:cs="Times New Roman"/>
          <w:i/>
          <w:iCs/>
        </w:rPr>
        <w:t>Regulatory Implications</w:t>
      </w:r>
      <w:r w:rsidR="00753A49" w:rsidRPr="001C2B22">
        <w:rPr>
          <w:rFonts w:cs="Times New Roman"/>
        </w:rPr>
        <w:t xml:space="preserve"> makes a</w:t>
      </w:r>
      <w:r w:rsidR="00B50EA2" w:rsidRPr="001C2B22">
        <w:rPr>
          <w:rFonts w:cs="Times New Roman"/>
        </w:rPr>
        <w:t xml:space="preserve"> serious </w:t>
      </w:r>
      <w:r w:rsidR="00753A49" w:rsidRPr="001C2B22">
        <w:rPr>
          <w:rFonts w:cs="Times New Roman"/>
        </w:rPr>
        <w:t>error</w:t>
      </w:r>
      <w:r w:rsidR="00A3409F" w:rsidRPr="001C2B22">
        <w:rPr>
          <w:rFonts w:cs="Times New Roman"/>
        </w:rPr>
        <w:t>—because it</w:t>
      </w:r>
      <w:r w:rsidR="002A4869">
        <w:rPr>
          <w:rFonts w:cs="Times New Roman"/>
        </w:rPr>
        <w:t xml:space="preserve"> seems to</w:t>
      </w:r>
      <w:r w:rsidR="00A3409F" w:rsidRPr="001C2B22">
        <w:rPr>
          <w:rFonts w:cs="Times New Roman"/>
        </w:rPr>
        <w:t xml:space="preserve"> insist that </w:t>
      </w:r>
      <w:r w:rsidR="000B0FD8" w:rsidRPr="001C2B22">
        <w:rPr>
          <w:rFonts w:cs="Times New Roman"/>
        </w:rPr>
        <w:t>social media non-discrimination laws</w:t>
      </w:r>
      <w:r w:rsidR="00A3409F" w:rsidRPr="001C2B22">
        <w:rPr>
          <w:rFonts w:cs="Times New Roman"/>
        </w:rPr>
        <w:t xml:space="preserve"> include a secret </w:t>
      </w:r>
      <w:r w:rsidR="00B23B2C" w:rsidRPr="001C2B22">
        <w:rPr>
          <w:rFonts w:cs="Times New Roman"/>
        </w:rPr>
        <w:t xml:space="preserve">public utility </w:t>
      </w:r>
      <w:r w:rsidR="00A3409F" w:rsidRPr="001C2B22">
        <w:rPr>
          <w:rFonts w:cs="Times New Roman"/>
        </w:rPr>
        <w:t>pricing plan</w:t>
      </w:r>
      <w:proofErr w:type="gramStart"/>
      <w:r w:rsidR="00753A49" w:rsidRPr="001C2B22">
        <w:rPr>
          <w:rFonts w:cs="Times New Roman"/>
        </w:rPr>
        <w:t xml:space="preserve">. </w:t>
      </w:r>
      <w:proofErr w:type="gramEnd"/>
      <w:r w:rsidR="00753A49" w:rsidRPr="001C2B22">
        <w:rPr>
          <w:rFonts w:cs="Times New Roman"/>
        </w:rPr>
        <w:t xml:space="preserve">It argues that reasonable discrimination rules </w:t>
      </w:r>
      <w:r w:rsidR="00C41767" w:rsidRPr="001C2B22">
        <w:rPr>
          <w:rFonts w:cs="Times New Roman"/>
        </w:rPr>
        <w:t>cannot</w:t>
      </w:r>
      <w:r w:rsidR="00753A49" w:rsidRPr="001C2B22">
        <w:rPr>
          <w:rFonts w:cs="Times New Roman"/>
        </w:rPr>
        <w:t xml:space="preserve"> apply to social media</w:t>
      </w:r>
      <w:r w:rsidR="00B50EA2" w:rsidRPr="001C2B22">
        <w:rPr>
          <w:rFonts w:cs="Times New Roman"/>
        </w:rPr>
        <w:t xml:space="preserve">, claiming </w:t>
      </w:r>
      <w:r w:rsidR="00753A49" w:rsidRPr="001C2B22">
        <w:rPr>
          <w:rFonts w:cs="Times New Roman"/>
        </w:rPr>
        <w:t>that</w:t>
      </w:r>
      <w:r w:rsidR="00923819" w:rsidRPr="001C2B22">
        <w:rPr>
          <w:rFonts w:cs="Times New Roman"/>
        </w:rPr>
        <w:t xml:space="preserve"> </w:t>
      </w:r>
      <w:r w:rsidR="000B1906">
        <w:rPr>
          <w:rFonts w:cs="Times New Roman"/>
        </w:rPr>
        <w:t>“</w:t>
      </w:r>
      <w:r w:rsidR="004E0112" w:rsidRPr="001C2B22">
        <w:rPr>
          <w:rFonts w:cs="Times New Roman"/>
        </w:rPr>
        <w:t xml:space="preserve">If the government wants to exert more control over how </w:t>
      </w:r>
      <w:r w:rsidR="00E41B64">
        <w:rPr>
          <w:rFonts w:cs="Times New Roman"/>
        </w:rPr>
        <w:t>I</w:t>
      </w:r>
      <w:r w:rsidR="004E0112" w:rsidRPr="001C2B22">
        <w:rPr>
          <w:rFonts w:cs="Times New Roman"/>
        </w:rPr>
        <w:t xml:space="preserve">nternet platforms curate content, then the full panoply of public utility regulation is </w:t>
      </w:r>
      <w:proofErr w:type="gramStart"/>
      <w:r w:rsidR="004E0112" w:rsidRPr="001C2B22">
        <w:rPr>
          <w:rFonts w:cs="Times New Roman"/>
        </w:rPr>
        <w:t>probably required</w:t>
      </w:r>
      <w:proofErr w:type="gramEnd"/>
      <w:r w:rsidR="004E0112" w:rsidRPr="001C2B22">
        <w:rPr>
          <w:rFonts w:cs="Times New Roman"/>
        </w:rPr>
        <w:t xml:space="preserve"> so that the regulator can decide, for example, whether Donald Trump is </w:t>
      </w:r>
      <w:r w:rsidR="000B1906">
        <w:rPr>
          <w:rFonts w:cs="Times New Roman"/>
        </w:rPr>
        <w:t>‘</w:t>
      </w:r>
      <w:r w:rsidR="004E0112" w:rsidRPr="001C2B22">
        <w:rPr>
          <w:rFonts w:cs="Times New Roman"/>
        </w:rPr>
        <w:t>similarly situate</w:t>
      </w:r>
      <w:r w:rsidR="005D2F5E" w:rsidRPr="001C2B22">
        <w:rPr>
          <w:rFonts w:cs="Times New Roman"/>
        </w:rPr>
        <w:t>d</w:t>
      </w:r>
      <w:r w:rsidR="000B1906">
        <w:rPr>
          <w:rFonts w:cs="Times New Roman"/>
        </w:rPr>
        <w:t>’</w:t>
      </w:r>
      <w:r w:rsidR="00C669F2" w:rsidRPr="001C2B22">
        <w:rPr>
          <w:rFonts w:cs="Times New Roman"/>
        </w:rPr>
        <w:t xml:space="preserve"> </w:t>
      </w:r>
      <w:r w:rsidR="004E0112" w:rsidRPr="001C2B22">
        <w:rPr>
          <w:rFonts w:cs="Times New Roman"/>
        </w:rPr>
        <w:t>to an Instagram influencer.</w:t>
      </w:r>
      <w:r w:rsidR="000B1906">
        <w:rPr>
          <w:rFonts w:cs="Times New Roman"/>
        </w:rPr>
        <w:t>”</w:t>
      </w:r>
      <w:r w:rsidR="00560EB4">
        <w:rPr>
          <w:rStyle w:val="FootnoteReference"/>
          <w:rFonts w:cs="Times New Roman"/>
        </w:rPr>
        <w:footnoteReference w:id="32"/>
      </w:r>
      <w:r w:rsidR="00D056CA" w:rsidRPr="001C2B22">
        <w:rPr>
          <w:rFonts w:cs="Times New Roman"/>
        </w:rPr>
        <w:t xml:space="preserve"> </w:t>
      </w:r>
    </w:p>
    <w:p w14:paraId="7476EB34" w14:textId="28B672DF" w:rsidR="00F766D4" w:rsidRDefault="00D36A6E" w:rsidP="001C2B22">
      <w:pPr>
        <w:pStyle w:val="BodyText"/>
        <w:rPr>
          <w:rFonts w:cs="Times New Roman"/>
        </w:rPr>
      </w:pPr>
      <w:r w:rsidRPr="001C2B22">
        <w:rPr>
          <w:rFonts w:cs="Times New Roman"/>
        </w:rPr>
        <w:t xml:space="preserve">But H.B. 20 </w:t>
      </w:r>
      <w:proofErr w:type="gramStart"/>
      <w:r w:rsidRPr="001C2B22">
        <w:rPr>
          <w:rFonts w:cs="Times New Roman"/>
        </w:rPr>
        <w:t>doesn</w:t>
      </w:r>
      <w:r w:rsidR="000B1906">
        <w:rPr>
          <w:rFonts w:cs="Times New Roman"/>
        </w:rPr>
        <w:t>’</w:t>
      </w:r>
      <w:r w:rsidRPr="001C2B22">
        <w:rPr>
          <w:rFonts w:cs="Times New Roman"/>
        </w:rPr>
        <w:t>t</w:t>
      </w:r>
      <w:proofErr w:type="gramEnd"/>
      <w:r w:rsidRPr="001C2B22">
        <w:rPr>
          <w:rFonts w:cs="Times New Roman"/>
        </w:rPr>
        <w:t xml:space="preserve"> require that</w:t>
      </w:r>
      <w:r w:rsidR="00C41767" w:rsidRPr="001C2B22">
        <w:rPr>
          <w:rFonts w:cs="Times New Roman"/>
        </w:rPr>
        <w:t xml:space="preserve">. </w:t>
      </w:r>
      <w:proofErr w:type="gramStart"/>
      <w:r w:rsidR="00C41767" w:rsidRPr="001C2B22">
        <w:rPr>
          <w:rFonts w:cs="Times New Roman"/>
        </w:rPr>
        <w:t>It</w:t>
      </w:r>
      <w:r w:rsidR="000B1906">
        <w:rPr>
          <w:rFonts w:cs="Times New Roman"/>
        </w:rPr>
        <w:t>’</w:t>
      </w:r>
      <w:r w:rsidR="00C41767" w:rsidRPr="001C2B22">
        <w:rPr>
          <w:rFonts w:cs="Times New Roman"/>
        </w:rPr>
        <w:t>s</w:t>
      </w:r>
      <w:proofErr w:type="gramEnd"/>
      <w:r w:rsidR="00C41767" w:rsidRPr="001C2B22">
        <w:rPr>
          <w:rFonts w:cs="Times New Roman"/>
        </w:rPr>
        <w:t xml:space="preserve"> a common carrier—public accommodation-type law.</w:t>
      </w:r>
      <w:r w:rsidRPr="001C2B22">
        <w:rPr>
          <w:rFonts w:cs="Times New Roman"/>
        </w:rPr>
        <w:t xml:space="preserve"> It only requires that whatever rules and standards </w:t>
      </w:r>
      <w:r w:rsidR="00C41767" w:rsidRPr="001C2B22">
        <w:rPr>
          <w:rFonts w:cs="Times New Roman"/>
        </w:rPr>
        <w:t>the platform</w:t>
      </w:r>
      <w:r w:rsidRPr="001C2B22">
        <w:rPr>
          <w:rFonts w:cs="Times New Roman"/>
        </w:rPr>
        <w:t xml:space="preserve"> uses in moderating content, it cannot apply </w:t>
      </w:r>
      <w:r w:rsidR="00C41767" w:rsidRPr="001C2B22">
        <w:rPr>
          <w:rFonts w:cs="Times New Roman"/>
        </w:rPr>
        <w:t xml:space="preserve">them in a </w:t>
      </w:r>
      <w:r w:rsidRPr="001C2B22">
        <w:rPr>
          <w:rFonts w:cs="Times New Roman"/>
        </w:rPr>
        <w:t xml:space="preserve">viewpoint </w:t>
      </w:r>
      <w:r w:rsidR="00C41767" w:rsidRPr="001C2B22">
        <w:rPr>
          <w:rFonts w:cs="Times New Roman"/>
        </w:rPr>
        <w:t>discriminatory way</w:t>
      </w:r>
      <w:proofErr w:type="gramStart"/>
      <w:r w:rsidRPr="001C2B22">
        <w:rPr>
          <w:rFonts w:cs="Times New Roman"/>
        </w:rPr>
        <w:t xml:space="preserve">. </w:t>
      </w:r>
      <w:proofErr w:type="gramEnd"/>
      <w:r w:rsidR="00917542" w:rsidRPr="001C2B22">
        <w:rPr>
          <w:rFonts w:cs="Times New Roman"/>
        </w:rPr>
        <w:t>Unlike what a public utility regulation</w:t>
      </w:r>
      <w:r w:rsidR="00C41830" w:rsidRPr="001C2B22">
        <w:rPr>
          <w:rFonts w:cs="Times New Roman"/>
        </w:rPr>
        <w:t xml:space="preserve"> requires</w:t>
      </w:r>
      <w:r w:rsidR="00917542" w:rsidRPr="001C2B22">
        <w:rPr>
          <w:rFonts w:cs="Times New Roman"/>
        </w:rPr>
        <w:t xml:space="preserve">, </w:t>
      </w:r>
      <w:r w:rsidRPr="001C2B22">
        <w:rPr>
          <w:rFonts w:cs="Times New Roman"/>
        </w:rPr>
        <w:t xml:space="preserve">H.B. 20 does not require a </w:t>
      </w:r>
      <w:r w:rsidR="000B1906">
        <w:rPr>
          <w:rFonts w:cs="Times New Roman"/>
        </w:rPr>
        <w:t>“</w:t>
      </w:r>
      <w:r w:rsidRPr="001C2B22">
        <w:rPr>
          <w:rFonts w:cs="Times New Roman"/>
        </w:rPr>
        <w:t>pricing</w:t>
      </w:r>
      <w:r w:rsidR="000B1906">
        <w:rPr>
          <w:rFonts w:cs="Times New Roman"/>
        </w:rPr>
        <w:t>”</w:t>
      </w:r>
      <w:r w:rsidRPr="001C2B22">
        <w:rPr>
          <w:rFonts w:cs="Times New Roman"/>
        </w:rPr>
        <w:t xml:space="preserve"> of Donald Trump—after all, social media provides its services for free</w:t>
      </w:r>
      <w:proofErr w:type="gramStart"/>
      <w:r w:rsidRPr="001C2B22">
        <w:rPr>
          <w:rFonts w:cs="Times New Roman"/>
        </w:rPr>
        <w:t xml:space="preserve">! </w:t>
      </w:r>
      <w:proofErr w:type="gramEnd"/>
      <w:r w:rsidR="00F766D4">
        <w:rPr>
          <w:rFonts w:cs="Times New Roman"/>
        </w:rPr>
        <w:t xml:space="preserve">And, </w:t>
      </w:r>
      <w:r w:rsidR="006D32DE">
        <w:rPr>
          <w:rFonts w:cs="Times New Roman"/>
        </w:rPr>
        <w:t xml:space="preserve">most important, </w:t>
      </w:r>
      <w:r w:rsidR="00F766D4">
        <w:rPr>
          <w:rFonts w:cs="Times New Roman"/>
        </w:rPr>
        <w:t xml:space="preserve">the social media firms </w:t>
      </w:r>
      <w:r w:rsidR="006D32DE">
        <w:rPr>
          <w:rFonts w:cs="Times New Roman"/>
        </w:rPr>
        <w:lastRenderedPageBreak/>
        <w:t>alread</w:t>
      </w:r>
      <w:r w:rsidR="0009441A">
        <w:rPr>
          <w:rFonts w:cs="Times New Roman"/>
        </w:rPr>
        <w:t>y</w:t>
      </w:r>
      <w:r w:rsidR="00F766D4">
        <w:rPr>
          <w:rFonts w:cs="Times New Roman"/>
        </w:rPr>
        <w:t xml:space="preserve"> adopt different pricing schemes for their real customers</w:t>
      </w:r>
      <w:r w:rsidR="00F4094F">
        <w:rPr>
          <w:rFonts w:cs="Times New Roman"/>
        </w:rPr>
        <w:t>, the</w:t>
      </w:r>
      <w:r w:rsidR="00F766D4">
        <w:rPr>
          <w:rFonts w:cs="Times New Roman"/>
        </w:rPr>
        <w:t xml:space="preserve"> advertisers. </w:t>
      </w:r>
    </w:p>
    <w:p w14:paraId="5BABC901" w14:textId="5F7DB433" w:rsidR="00753A49" w:rsidRPr="001C2B22" w:rsidRDefault="00C669F2" w:rsidP="001C2B22">
      <w:pPr>
        <w:pStyle w:val="BodyText"/>
        <w:rPr>
          <w:rFonts w:cs="Times New Roman"/>
        </w:rPr>
      </w:pPr>
      <w:r w:rsidRPr="001C2B22">
        <w:rPr>
          <w:rFonts w:cs="Times New Roman"/>
        </w:rPr>
        <w:t>More basic</w:t>
      </w:r>
      <w:r w:rsidR="00C41767" w:rsidRPr="001C2B22">
        <w:rPr>
          <w:rFonts w:cs="Times New Roman"/>
        </w:rPr>
        <w:t>ally</w:t>
      </w:r>
      <w:r w:rsidRPr="001C2B22">
        <w:rPr>
          <w:rFonts w:cs="Times New Roman"/>
        </w:rPr>
        <w:t xml:space="preserve">, </w:t>
      </w:r>
      <w:r w:rsidR="00753A49" w:rsidRPr="001C2B22">
        <w:rPr>
          <w:rFonts w:cs="Times New Roman"/>
        </w:rPr>
        <w:t>pricing problems, which are indeed issues of public utility regulation, are not present in simple common carrier non-discrimination regulation</w:t>
      </w:r>
      <w:proofErr w:type="gramStart"/>
      <w:r w:rsidR="00753A49" w:rsidRPr="001C2B22">
        <w:rPr>
          <w:rFonts w:cs="Times New Roman"/>
        </w:rPr>
        <w:t xml:space="preserve">. </w:t>
      </w:r>
      <w:proofErr w:type="gramEnd"/>
      <w:r w:rsidR="00753A49" w:rsidRPr="001C2B22">
        <w:rPr>
          <w:rFonts w:cs="Times New Roman"/>
        </w:rPr>
        <w:t xml:space="preserve">Contrary to the logic of </w:t>
      </w:r>
      <w:r w:rsidR="00753A49" w:rsidRPr="001C2B22">
        <w:rPr>
          <w:rFonts w:cs="Times New Roman"/>
          <w:i/>
          <w:iCs/>
        </w:rPr>
        <w:t>Regulatory Implications,</w:t>
      </w:r>
      <w:r w:rsidR="00753A49" w:rsidRPr="001C2B22">
        <w:rPr>
          <w:rFonts w:cs="Times New Roman"/>
        </w:rPr>
        <w:t xml:space="preserve"> restaurants</w:t>
      </w:r>
      <w:r w:rsidR="00391679" w:rsidRPr="001C2B22">
        <w:rPr>
          <w:rFonts w:cs="Times New Roman"/>
        </w:rPr>
        <w:t>, retailers, airlines, and telephone companies</w:t>
      </w:r>
      <w:r w:rsidR="00753A49" w:rsidRPr="001C2B22">
        <w:rPr>
          <w:rFonts w:cs="Times New Roman"/>
        </w:rPr>
        <w:t xml:space="preserve"> can </w:t>
      </w:r>
      <w:r w:rsidRPr="001C2B22">
        <w:rPr>
          <w:rFonts w:cs="Times New Roman"/>
        </w:rPr>
        <w:t xml:space="preserve">without any diminishment of economic efficiency </w:t>
      </w:r>
      <w:r w:rsidR="00753A49" w:rsidRPr="001C2B22">
        <w:rPr>
          <w:rFonts w:cs="Times New Roman"/>
        </w:rPr>
        <w:t>serve all people of all races, religions, and backgrounds without making determinations of whether they are similarly situated</w:t>
      </w:r>
      <w:r w:rsidR="00C41767" w:rsidRPr="001C2B22">
        <w:rPr>
          <w:rFonts w:cs="Times New Roman"/>
        </w:rPr>
        <w:t>—and should be charged different prices</w:t>
      </w:r>
      <w:proofErr w:type="gramStart"/>
      <w:r w:rsidRPr="001C2B22">
        <w:rPr>
          <w:rFonts w:cs="Times New Roman"/>
        </w:rPr>
        <w:t>.</w:t>
      </w:r>
      <w:r w:rsidR="00A57C8B" w:rsidRPr="001C2B22">
        <w:rPr>
          <w:rFonts w:cs="Times New Roman"/>
        </w:rPr>
        <w:t xml:space="preserve"> </w:t>
      </w:r>
      <w:proofErr w:type="gramEnd"/>
      <w:r w:rsidR="00A57C8B" w:rsidRPr="001C2B22">
        <w:rPr>
          <w:rFonts w:cs="Times New Roman"/>
        </w:rPr>
        <w:t xml:space="preserve">The social media firms can serve </w:t>
      </w:r>
      <w:r w:rsidR="004A533F" w:rsidRPr="001C2B22">
        <w:rPr>
          <w:rFonts w:cs="Times New Roman"/>
        </w:rPr>
        <w:t>their users in the same fashion.</w:t>
      </w:r>
    </w:p>
    <w:p w14:paraId="6157295B" w14:textId="36A14117" w:rsidR="00225BC8" w:rsidRPr="001C2B22" w:rsidRDefault="00D36A6E" w:rsidP="001C2B22">
      <w:pPr>
        <w:pStyle w:val="BodyText"/>
        <w:rPr>
          <w:rFonts w:cs="Times New Roman"/>
        </w:rPr>
      </w:pPr>
      <w:r w:rsidRPr="001C2B22">
        <w:rPr>
          <w:rFonts w:cs="Times New Roman"/>
        </w:rPr>
        <w:t xml:space="preserve">And, </w:t>
      </w:r>
      <w:r w:rsidR="00753A49" w:rsidRPr="001C2B22">
        <w:rPr>
          <w:rFonts w:cs="Times New Roman"/>
        </w:rPr>
        <w:t>nondiscrimination and public accommodation laws</w:t>
      </w:r>
      <w:r w:rsidRPr="001C2B22">
        <w:rPr>
          <w:rFonts w:cs="Times New Roman"/>
        </w:rPr>
        <w:t xml:space="preserve"> are simple to follo</w:t>
      </w:r>
      <w:r w:rsidR="00753A49" w:rsidRPr="001C2B22">
        <w:rPr>
          <w:rFonts w:cs="Times New Roman"/>
        </w:rPr>
        <w:t xml:space="preserve">w; </w:t>
      </w:r>
      <w:r w:rsidR="00844B03">
        <w:rPr>
          <w:rFonts w:cs="Times New Roman"/>
        </w:rPr>
        <w:t>al</w:t>
      </w:r>
      <w:r w:rsidR="00753A49" w:rsidRPr="001C2B22">
        <w:rPr>
          <w:rFonts w:cs="Times New Roman"/>
        </w:rPr>
        <w:t>most every public</w:t>
      </w:r>
      <w:r w:rsidR="00844B03">
        <w:rPr>
          <w:rFonts w:cs="Times New Roman"/>
        </w:rPr>
        <w:t>-</w:t>
      </w:r>
      <w:r w:rsidR="00753A49" w:rsidRPr="001C2B22">
        <w:rPr>
          <w:rFonts w:cs="Times New Roman"/>
        </w:rPr>
        <w:t>facing business today follows them, from retail shopping to ski resorts.</w:t>
      </w:r>
      <w:r w:rsidR="00C669F2" w:rsidRPr="001C2B22">
        <w:rPr>
          <w:rStyle w:val="FootnoteReference"/>
          <w:rFonts w:cs="Times New Roman"/>
        </w:rPr>
        <w:footnoteReference w:id="33"/>
      </w:r>
      <w:r w:rsidRPr="001C2B22">
        <w:rPr>
          <w:rFonts w:cs="Times New Roman"/>
        </w:rPr>
        <w:t xml:space="preserve"> </w:t>
      </w:r>
      <w:r w:rsidR="00753A49" w:rsidRPr="001C2B22">
        <w:rPr>
          <w:rFonts w:cs="Times New Roman"/>
        </w:rPr>
        <w:t xml:space="preserve">Indeed, </w:t>
      </w:r>
      <w:r w:rsidR="00C04DCB" w:rsidRPr="001C2B22">
        <w:rPr>
          <w:rFonts w:cs="Times New Roman"/>
        </w:rPr>
        <w:t>common carrier</w:t>
      </w:r>
      <w:r w:rsidR="00F8263E" w:rsidRPr="001C2B22">
        <w:rPr>
          <w:rFonts w:cs="Times New Roman"/>
        </w:rPr>
        <w:t>s</w:t>
      </w:r>
      <w:r w:rsidR="00C04DCB" w:rsidRPr="001C2B22">
        <w:rPr>
          <w:rFonts w:cs="Times New Roman"/>
        </w:rPr>
        <w:t xml:space="preserve"> under their</w:t>
      </w:r>
      <w:r w:rsidR="00D056CA" w:rsidRPr="001C2B22">
        <w:rPr>
          <w:rFonts w:cs="Times New Roman"/>
        </w:rPr>
        <w:t xml:space="preserve"> nondiscrimination </w:t>
      </w:r>
      <w:r w:rsidR="006D3B0E" w:rsidRPr="001C2B22">
        <w:rPr>
          <w:rFonts w:cs="Times New Roman"/>
        </w:rPr>
        <w:t xml:space="preserve">obligations </w:t>
      </w:r>
      <w:r w:rsidR="002D41CE" w:rsidRPr="001C2B22">
        <w:rPr>
          <w:rFonts w:cs="Times New Roman"/>
        </w:rPr>
        <w:t>must serve all regardless of race, religion, or other status</w:t>
      </w:r>
      <w:r w:rsidR="00D056CA" w:rsidRPr="001C2B22">
        <w:rPr>
          <w:rFonts w:cs="Times New Roman"/>
        </w:rPr>
        <w:t>.</w:t>
      </w:r>
      <w:r w:rsidR="00C04DCB" w:rsidRPr="001C2B22">
        <w:rPr>
          <w:rStyle w:val="FootnoteReference"/>
          <w:rFonts w:cs="Times New Roman"/>
        </w:rPr>
        <w:footnoteReference w:id="34"/>
      </w:r>
      <w:r w:rsidR="00C96280">
        <w:rPr>
          <w:rFonts w:cs="Times New Roman"/>
        </w:rPr>
        <w:t xml:space="preserve"> </w:t>
      </w:r>
      <w:r w:rsidR="002D41CE" w:rsidRPr="001C2B22">
        <w:rPr>
          <w:rFonts w:cs="Times New Roman"/>
        </w:rPr>
        <w:t>W</w:t>
      </w:r>
      <w:r w:rsidR="00D056CA" w:rsidRPr="001C2B22">
        <w:rPr>
          <w:rFonts w:cs="Times New Roman"/>
        </w:rPr>
        <w:t>e need neither regulatory agenc</w:t>
      </w:r>
      <w:r w:rsidR="000D5EAC" w:rsidRPr="001C2B22">
        <w:rPr>
          <w:rFonts w:cs="Times New Roman"/>
        </w:rPr>
        <w:t>ies</w:t>
      </w:r>
      <w:r w:rsidR="00D056CA" w:rsidRPr="001C2B22">
        <w:rPr>
          <w:rFonts w:cs="Times New Roman"/>
        </w:rPr>
        <w:t xml:space="preserve"> </w:t>
      </w:r>
      <w:r w:rsidR="000D5EAC" w:rsidRPr="001C2B22">
        <w:rPr>
          <w:rFonts w:cs="Times New Roman"/>
        </w:rPr>
        <w:t>n</w:t>
      </w:r>
      <w:r w:rsidR="00D056CA" w:rsidRPr="001C2B22">
        <w:rPr>
          <w:rFonts w:cs="Times New Roman"/>
        </w:rPr>
        <w:t>or public utility law to enforce those obligations</w:t>
      </w:r>
      <w:r w:rsidR="008D3C79" w:rsidRPr="001C2B22">
        <w:rPr>
          <w:rFonts w:cs="Times New Roman"/>
        </w:rPr>
        <w:t xml:space="preserve">; courts </w:t>
      </w:r>
      <w:r w:rsidR="00C669F2" w:rsidRPr="001C2B22">
        <w:rPr>
          <w:rFonts w:cs="Times New Roman"/>
        </w:rPr>
        <w:t>enforce these anti-discrimination mandates</w:t>
      </w:r>
      <w:r w:rsidR="00D056CA" w:rsidRPr="001C2B22">
        <w:rPr>
          <w:rFonts w:cs="Times New Roman"/>
        </w:rPr>
        <w:t xml:space="preserve">. </w:t>
      </w:r>
    </w:p>
    <w:p w14:paraId="18B49E45" w14:textId="4410B4A3" w:rsidR="00842C02" w:rsidRPr="001C2B22" w:rsidRDefault="00225BC8" w:rsidP="001C2B22">
      <w:pPr>
        <w:pStyle w:val="BodyText"/>
        <w:rPr>
          <w:rFonts w:cs="Times New Roman"/>
        </w:rPr>
      </w:pPr>
      <w:r w:rsidRPr="001C2B22">
        <w:rPr>
          <w:rFonts w:cs="Times New Roman"/>
        </w:rPr>
        <w:t xml:space="preserve">Rather than </w:t>
      </w:r>
      <w:r w:rsidR="00B451A5" w:rsidRPr="001C2B22">
        <w:rPr>
          <w:rFonts w:cs="Times New Roman"/>
        </w:rPr>
        <w:t>recognize the</w:t>
      </w:r>
      <w:r w:rsidRPr="001C2B22">
        <w:rPr>
          <w:rFonts w:cs="Times New Roman"/>
        </w:rPr>
        <w:t xml:space="preserve"> obvious</w:t>
      </w:r>
      <w:r w:rsidR="00240D3B" w:rsidRPr="001C2B22">
        <w:rPr>
          <w:rFonts w:cs="Times New Roman"/>
        </w:rPr>
        <w:t xml:space="preserve"> harm of </w:t>
      </w:r>
      <w:r w:rsidR="00391679" w:rsidRPr="001C2B22">
        <w:rPr>
          <w:rFonts w:cs="Times New Roman"/>
        </w:rPr>
        <w:t xml:space="preserve">social media </w:t>
      </w:r>
      <w:r w:rsidR="00240D3B" w:rsidRPr="001C2B22">
        <w:rPr>
          <w:rFonts w:cs="Times New Roman"/>
        </w:rPr>
        <w:t>censor</w:t>
      </w:r>
      <w:r w:rsidR="00B451A5" w:rsidRPr="001C2B22">
        <w:rPr>
          <w:rFonts w:cs="Times New Roman"/>
        </w:rPr>
        <w:t>s</w:t>
      </w:r>
      <w:r w:rsidR="00240D3B" w:rsidRPr="001C2B22">
        <w:rPr>
          <w:rFonts w:cs="Times New Roman"/>
        </w:rPr>
        <w:t>hip</w:t>
      </w:r>
      <w:r w:rsidRPr="001C2B22">
        <w:rPr>
          <w:rFonts w:cs="Times New Roman"/>
        </w:rPr>
        <w:t xml:space="preserve">, </w:t>
      </w:r>
      <w:r w:rsidR="00071F1B" w:rsidRPr="001C2B22">
        <w:rPr>
          <w:rFonts w:cs="Times New Roman"/>
          <w:i/>
          <w:iCs/>
        </w:rPr>
        <w:t>Regulatory Implications</w:t>
      </w:r>
      <w:r w:rsidRPr="001C2B22">
        <w:rPr>
          <w:rFonts w:cs="Times New Roman"/>
        </w:rPr>
        <w:t xml:space="preserve"> </w:t>
      </w:r>
      <w:r w:rsidR="00543174" w:rsidRPr="001C2B22">
        <w:rPr>
          <w:rFonts w:cs="Times New Roman"/>
        </w:rPr>
        <w:t xml:space="preserve">looks to </w:t>
      </w:r>
      <w:r w:rsidR="00B451A5" w:rsidRPr="001C2B22">
        <w:rPr>
          <w:rFonts w:cs="Times New Roman"/>
        </w:rPr>
        <w:t>an article</w:t>
      </w:r>
      <w:r w:rsidR="00543174" w:rsidRPr="001C2B22">
        <w:rPr>
          <w:rFonts w:cs="Times New Roman"/>
        </w:rPr>
        <w:t xml:space="preserve"> </w:t>
      </w:r>
      <w:r w:rsidR="00C70E8E">
        <w:rPr>
          <w:rFonts w:cs="Times New Roman"/>
        </w:rPr>
        <w:t>by</w:t>
      </w:r>
      <w:r w:rsidR="00543174" w:rsidRPr="001C2B22">
        <w:rPr>
          <w:rFonts w:cs="Times New Roman"/>
        </w:rPr>
        <w:t xml:space="preserve"> </w:t>
      </w:r>
      <w:r w:rsidR="006C3B55" w:rsidRPr="001C2B22">
        <w:rPr>
          <w:rFonts w:cs="Times New Roman"/>
        </w:rPr>
        <w:t xml:space="preserve">an </w:t>
      </w:r>
      <w:r w:rsidR="00543174" w:rsidRPr="001C2B22">
        <w:rPr>
          <w:rFonts w:cs="Times New Roman"/>
        </w:rPr>
        <w:t>economist, George Ford,</w:t>
      </w:r>
      <w:r w:rsidR="00842C02" w:rsidRPr="001C2B22">
        <w:rPr>
          <w:rStyle w:val="FootnoteReference"/>
          <w:rFonts w:cs="Times New Roman"/>
        </w:rPr>
        <w:footnoteReference w:id="35"/>
      </w:r>
      <w:r w:rsidR="00543174" w:rsidRPr="001C2B22">
        <w:rPr>
          <w:rFonts w:cs="Times New Roman"/>
        </w:rPr>
        <w:t xml:space="preserve"> </w:t>
      </w:r>
      <w:r w:rsidR="00842C02" w:rsidRPr="001C2B22">
        <w:rPr>
          <w:rFonts w:cs="Times New Roman"/>
        </w:rPr>
        <w:t>cited in the FCC</w:t>
      </w:r>
      <w:r w:rsidR="000B1906">
        <w:rPr>
          <w:rFonts w:cs="Times New Roman"/>
        </w:rPr>
        <w:t>’</w:t>
      </w:r>
      <w:r w:rsidR="00842C02" w:rsidRPr="001C2B22">
        <w:rPr>
          <w:rFonts w:cs="Times New Roman"/>
        </w:rPr>
        <w:t>s Restoring Internet Freedom Order</w:t>
      </w:r>
      <w:r w:rsidR="007B5366">
        <w:rPr>
          <w:rFonts w:cs="Times New Roman"/>
        </w:rPr>
        <w:t>.</w:t>
      </w:r>
      <w:r w:rsidR="00842C02" w:rsidRPr="001C2B22">
        <w:rPr>
          <w:rStyle w:val="FootnoteReference"/>
          <w:rFonts w:cs="Times New Roman"/>
        </w:rPr>
        <w:footnoteReference w:id="36"/>
      </w:r>
      <w:r w:rsidR="00842C02" w:rsidRPr="001C2B22">
        <w:rPr>
          <w:rFonts w:cs="Times New Roman"/>
        </w:rPr>
        <w:t xml:space="preserve"> </w:t>
      </w:r>
    </w:p>
    <w:p w14:paraId="0FA0004C" w14:textId="1C89E9F4" w:rsidR="00733973" w:rsidRPr="001C2B22" w:rsidRDefault="00842C02" w:rsidP="0078292B">
      <w:pPr>
        <w:pStyle w:val="BodyText"/>
        <w:rPr>
          <w:rFonts w:cs="Times New Roman"/>
        </w:rPr>
      </w:pPr>
      <w:proofErr w:type="spellStart"/>
      <w:r w:rsidRPr="001C2B22">
        <w:rPr>
          <w:rFonts w:cs="Times New Roman"/>
        </w:rPr>
        <w:t>Spiwak</w:t>
      </w:r>
      <w:r w:rsidR="000B1906">
        <w:rPr>
          <w:rFonts w:cs="Times New Roman"/>
        </w:rPr>
        <w:t>’</w:t>
      </w:r>
      <w:r w:rsidR="00F02622">
        <w:rPr>
          <w:rFonts w:cs="Times New Roman"/>
        </w:rPr>
        <w:t>s</w:t>
      </w:r>
      <w:proofErr w:type="spellEnd"/>
      <w:r w:rsidR="00F02622">
        <w:rPr>
          <w:rFonts w:cs="Times New Roman"/>
        </w:rPr>
        <w:t xml:space="preserve"> article </w:t>
      </w:r>
      <w:r w:rsidR="008D3C79" w:rsidRPr="001C2B22">
        <w:rPr>
          <w:rFonts w:cs="Times New Roman"/>
        </w:rPr>
        <w:t>claims</w:t>
      </w:r>
      <w:r w:rsidR="00F02622">
        <w:rPr>
          <w:rFonts w:cs="Times New Roman"/>
        </w:rPr>
        <w:t xml:space="preserve"> </w:t>
      </w:r>
      <w:r w:rsidR="004E43A2">
        <w:rPr>
          <w:rFonts w:cs="Times New Roman"/>
        </w:rPr>
        <w:t>Ford</w:t>
      </w:r>
      <w:r w:rsidR="000B1906">
        <w:rPr>
          <w:rFonts w:cs="Times New Roman"/>
        </w:rPr>
        <w:t>’</w:t>
      </w:r>
      <w:r w:rsidR="004E43A2">
        <w:rPr>
          <w:rFonts w:cs="Times New Roman"/>
        </w:rPr>
        <w:t>s work</w:t>
      </w:r>
      <w:r w:rsidR="004E43A2" w:rsidRPr="001C2B22">
        <w:rPr>
          <w:rFonts w:cs="Times New Roman"/>
        </w:rPr>
        <w:t xml:space="preserve"> </w:t>
      </w:r>
      <w:r w:rsidR="000B1906">
        <w:rPr>
          <w:rFonts w:cs="Times New Roman"/>
        </w:rPr>
        <w:t>“</w:t>
      </w:r>
      <w:r w:rsidR="00543174" w:rsidRPr="001C2B22">
        <w:rPr>
          <w:rFonts w:cs="Times New Roman"/>
        </w:rPr>
        <w:t>conclusively demonstrated that industry investment suffered as a</w:t>
      </w:r>
      <w:r w:rsidR="00B451A5" w:rsidRPr="001C2B22">
        <w:rPr>
          <w:rFonts w:cs="Times New Roman"/>
        </w:rPr>
        <w:t xml:space="preserve"> </w:t>
      </w:r>
      <w:r w:rsidR="00543174" w:rsidRPr="001C2B22">
        <w:rPr>
          <w:rFonts w:cs="Times New Roman"/>
        </w:rPr>
        <w:t>result of reclassification</w:t>
      </w:r>
      <w:r w:rsidR="003E433B" w:rsidRPr="001C2B22">
        <w:rPr>
          <w:rFonts w:cs="Times New Roman"/>
        </w:rPr>
        <w:t xml:space="preserve"> [the FCC</w:t>
      </w:r>
      <w:r w:rsidR="000B1906">
        <w:rPr>
          <w:rFonts w:cs="Times New Roman"/>
        </w:rPr>
        <w:t>’</w:t>
      </w:r>
      <w:r w:rsidR="003E433B" w:rsidRPr="001C2B22">
        <w:rPr>
          <w:rFonts w:cs="Times New Roman"/>
        </w:rPr>
        <w:t>s decision to regulate ISPs as common carrier in 2015</w:t>
      </w:r>
      <w:r w:rsidR="00B451A5" w:rsidRPr="001C2B22">
        <w:rPr>
          <w:rFonts w:cs="Times New Roman"/>
        </w:rPr>
        <w:t xml:space="preserve"> network neutrality order</w:t>
      </w:r>
      <w:r w:rsidR="003E433B" w:rsidRPr="001C2B22">
        <w:rPr>
          <w:rFonts w:cs="Times New Roman"/>
        </w:rPr>
        <w:t>]</w:t>
      </w:r>
      <w:r w:rsidR="00543174" w:rsidRPr="001C2B22">
        <w:rPr>
          <w:rFonts w:cs="Times New Roman"/>
        </w:rPr>
        <w:t>.</w:t>
      </w:r>
      <w:r w:rsidR="000B1906">
        <w:rPr>
          <w:rFonts w:cs="Times New Roman"/>
        </w:rPr>
        <w:t>”</w:t>
      </w:r>
      <w:r w:rsidR="00071F1B" w:rsidRPr="001C2B22">
        <w:rPr>
          <w:rStyle w:val="FootnoteReference"/>
          <w:rFonts w:cs="Times New Roman"/>
        </w:rPr>
        <w:footnoteReference w:id="37"/>
      </w:r>
      <w:r w:rsidR="00071F1B" w:rsidRPr="001C2B22">
        <w:rPr>
          <w:rFonts w:cs="Times New Roman"/>
        </w:rPr>
        <w:t xml:space="preserve"> The article</w:t>
      </w:r>
      <w:r w:rsidR="003E433B" w:rsidRPr="001C2B22">
        <w:rPr>
          <w:rFonts w:cs="Times New Roman"/>
        </w:rPr>
        <w:t xml:space="preserve"> therefore implies that Texas</w:t>
      </w:r>
      <w:r w:rsidR="000B1906">
        <w:rPr>
          <w:rFonts w:cs="Times New Roman"/>
        </w:rPr>
        <w:t>’</w:t>
      </w:r>
      <w:r w:rsidR="003E433B" w:rsidRPr="001C2B22">
        <w:rPr>
          <w:rFonts w:cs="Times New Roman"/>
        </w:rPr>
        <w:t xml:space="preserve">s non-discrimination requirement </w:t>
      </w:r>
      <w:r w:rsidR="000D5EAC" w:rsidRPr="001C2B22">
        <w:rPr>
          <w:rFonts w:cs="Times New Roman"/>
        </w:rPr>
        <w:t xml:space="preserve">on platforms </w:t>
      </w:r>
      <w:r w:rsidR="003E433B" w:rsidRPr="001C2B22">
        <w:rPr>
          <w:rFonts w:cs="Times New Roman"/>
        </w:rPr>
        <w:t xml:space="preserve">will have a </w:t>
      </w:r>
      <w:r w:rsidR="000D5EAC" w:rsidRPr="001C2B22">
        <w:rPr>
          <w:rFonts w:cs="Times New Roman"/>
        </w:rPr>
        <w:t xml:space="preserve">similar </w:t>
      </w:r>
      <w:r w:rsidR="003E433B" w:rsidRPr="001C2B22">
        <w:rPr>
          <w:rFonts w:cs="Times New Roman"/>
        </w:rPr>
        <w:t>negative impact</w:t>
      </w:r>
      <w:r w:rsidR="000D5EAC" w:rsidRPr="001C2B22">
        <w:rPr>
          <w:rFonts w:cs="Times New Roman"/>
        </w:rPr>
        <w:t xml:space="preserve"> on social media capital investment</w:t>
      </w:r>
      <w:r w:rsidR="005E1EAC" w:rsidRPr="001C2B22">
        <w:rPr>
          <w:rFonts w:cs="Times New Roman"/>
        </w:rPr>
        <w:t>—without giving any evidence of such a similar effect</w:t>
      </w:r>
      <w:r w:rsidR="003E433B" w:rsidRPr="001C2B22">
        <w:rPr>
          <w:rFonts w:cs="Times New Roman"/>
        </w:rPr>
        <w:t>.</w:t>
      </w:r>
      <w:r w:rsidR="00C96280">
        <w:rPr>
          <w:rFonts w:cs="Times New Roman"/>
        </w:rPr>
        <w:t xml:space="preserve"> </w:t>
      </w:r>
    </w:p>
    <w:p w14:paraId="41E240DE" w14:textId="7CF14378" w:rsidR="00543174" w:rsidRPr="001C2B22" w:rsidRDefault="00E65743" w:rsidP="00C96280">
      <w:pPr>
        <w:pStyle w:val="BodyText"/>
        <w:rPr>
          <w:rFonts w:cs="Times New Roman"/>
        </w:rPr>
      </w:pPr>
      <w:r>
        <w:rPr>
          <w:rFonts w:cs="Times New Roman"/>
        </w:rPr>
        <w:t>In the article relied upon</w:t>
      </w:r>
      <w:r w:rsidR="00745D23" w:rsidRPr="001C2B22">
        <w:rPr>
          <w:rFonts w:cs="Times New Roman"/>
        </w:rPr>
        <w:t>,</w:t>
      </w:r>
      <w:r w:rsidR="00071F1B" w:rsidRPr="001C2B22">
        <w:rPr>
          <w:rStyle w:val="FootnoteReference"/>
          <w:rFonts w:cs="Times New Roman"/>
        </w:rPr>
        <w:footnoteReference w:id="38"/>
      </w:r>
      <w:r w:rsidR="00655030">
        <w:rPr>
          <w:rFonts w:cs="Times New Roman"/>
        </w:rPr>
        <w:t xml:space="preserve"> </w:t>
      </w:r>
      <w:r w:rsidR="421DF602" w:rsidRPr="001C2B22">
        <w:rPr>
          <w:rFonts w:cs="Times New Roman"/>
        </w:rPr>
        <w:t xml:space="preserve">Ford finds a decrease in </w:t>
      </w:r>
      <w:r w:rsidR="66DEBD72" w:rsidRPr="001C2B22">
        <w:rPr>
          <w:rFonts w:cs="Times New Roman"/>
        </w:rPr>
        <w:t xml:space="preserve">ISP industry </w:t>
      </w:r>
      <w:r w:rsidR="421DF602" w:rsidRPr="001C2B22">
        <w:rPr>
          <w:rFonts w:cs="Times New Roman"/>
        </w:rPr>
        <w:t xml:space="preserve">investment </w:t>
      </w:r>
      <w:r w:rsidR="421DF602" w:rsidRPr="001C2B22">
        <w:rPr>
          <w:rFonts w:cs="Times New Roman"/>
          <w:i/>
          <w:iCs/>
        </w:rPr>
        <w:t>since 2010</w:t>
      </w:r>
      <w:proofErr w:type="gramStart"/>
      <w:r w:rsidR="421DF602" w:rsidRPr="001C2B22">
        <w:rPr>
          <w:rFonts w:cs="Times New Roman"/>
        </w:rPr>
        <w:t xml:space="preserve">. </w:t>
      </w:r>
      <w:proofErr w:type="gramEnd"/>
      <w:r w:rsidR="421DF602" w:rsidRPr="001C2B22">
        <w:rPr>
          <w:rFonts w:cs="Times New Roman"/>
        </w:rPr>
        <w:t>Reclassification occurred in 2015</w:t>
      </w:r>
      <w:proofErr w:type="gramStart"/>
      <w:r w:rsidR="421DF602" w:rsidRPr="001C2B22">
        <w:rPr>
          <w:rFonts w:cs="Times New Roman"/>
        </w:rPr>
        <w:t xml:space="preserve">. </w:t>
      </w:r>
      <w:proofErr w:type="gramEnd"/>
      <w:r w:rsidR="421DF602" w:rsidRPr="001C2B22">
        <w:rPr>
          <w:rFonts w:cs="Times New Roman"/>
        </w:rPr>
        <w:t xml:space="preserve">How this article shows investment </w:t>
      </w:r>
      <w:r w:rsidR="000B1906">
        <w:rPr>
          <w:rFonts w:cs="Times New Roman"/>
        </w:rPr>
        <w:t>“</w:t>
      </w:r>
      <w:r w:rsidR="421DF602" w:rsidRPr="001C2B22">
        <w:rPr>
          <w:rFonts w:cs="Times New Roman"/>
        </w:rPr>
        <w:t>suffered as a result of reclassification</w:t>
      </w:r>
      <w:r w:rsidR="000B1906">
        <w:rPr>
          <w:rFonts w:cs="Times New Roman"/>
        </w:rPr>
        <w:t>”</w:t>
      </w:r>
      <w:r w:rsidR="421DF602" w:rsidRPr="001C2B22">
        <w:rPr>
          <w:rFonts w:cs="Times New Roman"/>
        </w:rPr>
        <w:t xml:space="preserve"> is a mystery</w:t>
      </w:r>
      <w:proofErr w:type="gramStart"/>
      <w:r w:rsidR="421DF602" w:rsidRPr="001C2B22">
        <w:rPr>
          <w:rFonts w:cs="Times New Roman"/>
        </w:rPr>
        <w:t xml:space="preserve">. </w:t>
      </w:r>
      <w:r w:rsidR="2F55FA2B" w:rsidRPr="001C2B22">
        <w:rPr>
          <w:rFonts w:cs="Times New Roman"/>
        </w:rPr>
        <w:t>Actually, Ford</w:t>
      </w:r>
      <w:proofErr w:type="gramEnd"/>
      <w:r w:rsidR="2F55FA2B" w:rsidRPr="001C2B22">
        <w:rPr>
          <w:rFonts w:cs="Times New Roman"/>
        </w:rPr>
        <w:t xml:space="preserve"> </w:t>
      </w:r>
      <w:r w:rsidR="5B4B383C" w:rsidRPr="001C2B22">
        <w:rPr>
          <w:rFonts w:cs="Times New Roman"/>
        </w:rPr>
        <w:t>contends</w:t>
      </w:r>
      <w:r w:rsidR="2F55FA2B" w:rsidRPr="001C2B22">
        <w:rPr>
          <w:rFonts w:cs="Times New Roman"/>
        </w:rPr>
        <w:t xml:space="preserve"> that the </w:t>
      </w:r>
      <w:r w:rsidR="2F55FA2B" w:rsidRPr="001C2B22">
        <w:rPr>
          <w:rFonts w:cs="Times New Roman"/>
          <w:i/>
          <w:iCs/>
        </w:rPr>
        <w:t>threat</w:t>
      </w:r>
      <w:r w:rsidR="2F55FA2B" w:rsidRPr="001C2B22">
        <w:rPr>
          <w:rFonts w:cs="Times New Roman"/>
        </w:rPr>
        <w:t xml:space="preserve"> of reclassification, which he asserts occurred when President Obama took office, caused the decrease in investment. </w:t>
      </w:r>
      <w:proofErr w:type="gramStart"/>
      <w:r w:rsidR="4A588EF7" w:rsidRPr="001C2B22">
        <w:rPr>
          <w:rFonts w:cs="Times New Roman"/>
        </w:rPr>
        <w:t>Apparently,</w:t>
      </w:r>
      <w:r w:rsidR="2F55FA2B" w:rsidRPr="001C2B22">
        <w:rPr>
          <w:rFonts w:cs="Times New Roman"/>
        </w:rPr>
        <w:t xml:space="preserve"> </w:t>
      </w:r>
      <w:r w:rsidR="05145044" w:rsidRPr="001C2B22">
        <w:rPr>
          <w:rFonts w:cs="Times New Roman"/>
        </w:rPr>
        <w:t>then</w:t>
      </w:r>
      <w:proofErr w:type="gramEnd"/>
      <w:r w:rsidR="05145044" w:rsidRPr="001C2B22">
        <w:rPr>
          <w:rFonts w:cs="Times New Roman"/>
        </w:rPr>
        <w:t>,</w:t>
      </w:r>
      <w:r w:rsidR="7840A2CE" w:rsidRPr="001C2B22">
        <w:rPr>
          <w:rFonts w:cs="Times New Roman"/>
        </w:rPr>
        <w:t xml:space="preserve"> </w:t>
      </w:r>
      <w:r w:rsidR="7840A2CE" w:rsidRPr="001C2B22">
        <w:rPr>
          <w:rFonts w:cs="Times New Roman"/>
          <w:i/>
          <w:iCs/>
        </w:rPr>
        <w:t>Regulatory Implication</w:t>
      </w:r>
      <w:r w:rsidR="000B1906">
        <w:rPr>
          <w:rFonts w:cs="Times New Roman"/>
          <w:i/>
          <w:iCs/>
        </w:rPr>
        <w:t>’</w:t>
      </w:r>
      <w:r w:rsidR="2F55FA2B" w:rsidRPr="00A9432C">
        <w:rPr>
          <w:rFonts w:cs="Times New Roman"/>
          <w:i/>
          <w:iCs/>
        </w:rPr>
        <w:t>s</w:t>
      </w:r>
      <w:r w:rsidR="2F55FA2B" w:rsidRPr="001C2B22">
        <w:rPr>
          <w:rFonts w:cs="Times New Roman"/>
        </w:rPr>
        <w:t xml:space="preserve"> real beef is with Democratic presidents.</w:t>
      </w:r>
      <w:r w:rsidR="5B4B383C" w:rsidRPr="001C2B22">
        <w:rPr>
          <w:rFonts w:cs="Times New Roman"/>
        </w:rPr>
        <w:t xml:space="preserve"> </w:t>
      </w:r>
      <w:r w:rsidR="7840A2CE" w:rsidRPr="001C2B22">
        <w:rPr>
          <w:rFonts w:cs="Times New Roman"/>
        </w:rPr>
        <w:t xml:space="preserve">But, </w:t>
      </w:r>
      <w:r w:rsidR="5302F25A" w:rsidRPr="001C2B22">
        <w:rPr>
          <w:rFonts w:cs="Times New Roman"/>
        </w:rPr>
        <w:t xml:space="preserve">by providing a fair social media environment </w:t>
      </w:r>
      <w:r w:rsidR="09026B47" w:rsidRPr="001C2B22">
        <w:rPr>
          <w:rFonts w:cs="Times New Roman"/>
        </w:rPr>
        <w:t xml:space="preserve">that is </w:t>
      </w:r>
      <w:proofErr w:type="gramStart"/>
      <w:r w:rsidR="09026B47" w:rsidRPr="001C2B22">
        <w:rPr>
          <w:rFonts w:cs="Times New Roman"/>
        </w:rPr>
        <w:t>more fair</w:t>
      </w:r>
      <w:proofErr w:type="gramEnd"/>
      <w:r w:rsidR="09026B47" w:rsidRPr="001C2B22">
        <w:rPr>
          <w:rFonts w:cs="Times New Roman"/>
        </w:rPr>
        <w:t xml:space="preserve"> </w:t>
      </w:r>
      <w:r w:rsidR="5302F25A" w:rsidRPr="001C2B22">
        <w:rPr>
          <w:rFonts w:cs="Times New Roman"/>
        </w:rPr>
        <w:t>to conservatives, t</w:t>
      </w:r>
      <w:r w:rsidR="5B4B383C" w:rsidRPr="001C2B22">
        <w:rPr>
          <w:rFonts w:cs="Times New Roman"/>
        </w:rPr>
        <w:t xml:space="preserve">he Texas social media law </w:t>
      </w:r>
      <w:r w:rsidR="5302F25A" w:rsidRPr="001C2B22">
        <w:rPr>
          <w:rFonts w:cs="Times New Roman"/>
        </w:rPr>
        <w:t>will likely help with that problem</w:t>
      </w:r>
      <w:r w:rsidR="5B4B383C" w:rsidRPr="001C2B22">
        <w:rPr>
          <w:rFonts w:cs="Times New Roman"/>
        </w:rPr>
        <w:t>.</w:t>
      </w:r>
    </w:p>
    <w:p w14:paraId="671D2275" w14:textId="34959E93" w:rsidR="000B0FD8" w:rsidRPr="001C2B22" w:rsidRDefault="00071F1B" w:rsidP="00C96280">
      <w:pPr>
        <w:pStyle w:val="BodyText"/>
        <w:rPr>
          <w:rFonts w:cs="Times New Roman"/>
        </w:rPr>
      </w:pPr>
      <w:r w:rsidRPr="001C2B22">
        <w:rPr>
          <w:rFonts w:cs="Times New Roman"/>
          <w:i/>
          <w:iCs/>
        </w:rPr>
        <w:lastRenderedPageBreak/>
        <w:t>Regulatory Implications</w:t>
      </w:r>
      <w:r w:rsidRPr="001C2B22">
        <w:rPr>
          <w:rFonts w:cs="Times New Roman"/>
        </w:rPr>
        <w:t xml:space="preserve"> </w:t>
      </w:r>
      <w:r w:rsidR="000B0FD8" w:rsidRPr="001C2B22">
        <w:rPr>
          <w:rFonts w:cs="Times New Roman"/>
        </w:rPr>
        <w:t xml:space="preserve">continues in the same vein critiquing my analysis of cable and broadcast law—and claims I misuse the economic concept of a </w:t>
      </w:r>
      <w:r w:rsidR="000B1906">
        <w:rPr>
          <w:rFonts w:cs="Times New Roman"/>
        </w:rPr>
        <w:t>“</w:t>
      </w:r>
      <w:r w:rsidR="000B0FD8" w:rsidRPr="001C2B22">
        <w:rPr>
          <w:rFonts w:cs="Times New Roman"/>
        </w:rPr>
        <w:t>public good.</w:t>
      </w:r>
      <w:r w:rsidR="000B1906">
        <w:rPr>
          <w:rFonts w:cs="Times New Roman"/>
        </w:rPr>
        <w:t>”</w:t>
      </w:r>
      <w:r w:rsidR="000B0FD8" w:rsidRPr="001C2B22">
        <w:rPr>
          <w:rFonts w:cs="Times New Roman"/>
        </w:rPr>
        <w:t xml:space="preserve"> For the sake of space, I leave </w:t>
      </w:r>
      <w:r w:rsidR="00FA0359" w:rsidRPr="001C2B22">
        <w:rPr>
          <w:rFonts w:cs="Times New Roman"/>
        </w:rPr>
        <w:t>these matters</w:t>
      </w:r>
      <w:r w:rsidR="000B0FD8" w:rsidRPr="001C2B22">
        <w:rPr>
          <w:rFonts w:cs="Times New Roman"/>
        </w:rPr>
        <w:t xml:space="preserve"> to the curious </w:t>
      </w:r>
      <w:r w:rsidR="00FA0359" w:rsidRPr="001C2B22">
        <w:rPr>
          <w:rFonts w:cs="Times New Roman"/>
        </w:rPr>
        <w:t xml:space="preserve">and thoughtful </w:t>
      </w:r>
      <w:r w:rsidR="000B0FD8" w:rsidRPr="001C2B22">
        <w:rPr>
          <w:rFonts w:cs="Times New Roman"/>
        </w:rPr>
        <w:t>reader</w:t>
      </w:r>
      <w:r w:rsidR="00FA0359" w:rsidRPr="001C2B22">
        <w:rPr>
          <w:rFonts w:cs="Times New Roman"/>
        </w:rPr>
        <w:t xml:space="preserve"> and trust her judgment</w:t>
      </w:r>
      <w:r w:rsidR="000B0FD8" w:rsidRPr="001C2B22">
        <w:rPr>
          <w:rFonts w:cs="Times New Roman"/>
        </w:rPr>
        <w:t xml:space="preserve">. </w:t>
      </w:r>
    </w:p>
    <w:p w14:paraId="79DDAFCD" w14:textId="7FD5D536" w:rsidR="000B0FD8" w:rsidRPr="001C2B22" w:rsidRDefault="7767CBE4" w:rsidP="001C2B22">
      <w:pPr>
        <w:pStyle w:val="BodyText"/>
        <w:rPr>
          <w:rFonts w:cs="Times New Roman"/>
        </w:rPr>
      </w:pPr>
      <w:r w:rsidRPr="001C2B22">
        <w:rPr>
          <w:rFonts w:cs="Times New Roman"/>
        </w:rPr>
        <w:t>I will just remark on one last point</w:t>
      </w:r>
      <w:proofErr w:type="gramStart"/>
      <w:r w:rsidRPr="001C2B22">
        <w:rPr>
          <w:rFonts w:cs="Times New Roman"/>
        </w:rPr>
        <w:t xml:space="preserve">. </w:t>
      </w:r>
      <w:proofErr w:type="gramEnd"/>
      <w:r w:rsidR="5FA2DCFC" w:rsidRPr="001C2B22">
        <w:rPr>
          <w:rFonts w:cs="Times New Roman"/>
        </w:rPr>
        <w:t xml:space="preserve">Before the Twitter files </w:t>
      </w:r>
      <w:r w:rsidR="09026B47" w:rsidRPr="001C2B22">
        <w:rPr>
          <w:rFonts w:cs="Times New Roman"/>
        </w:rPr>
        <w:t>and</w:t>
      </w:r>
      <w:r w:rsidR="5FA2DCFC" w:rsidRPr="001C2B22">
        <w:rPr>
          <w:rFonts w:cs="Times New Roman"/>
        </w:rPr>
        <w:t xml:space="preserve"> </w:t>
      </w:r>
      <w:r w:rsidR="5FA2DCFC" w:rsidRPr="001C2B22">
        <w:rPr>
          <w:rFonts w:cs="Times New Roman"/>
          <w:i/>
          <w:iCs/>
        </w:rPr>
        <w:t>Missouri v. Murthy</w:t>
      </w:r>
      <w:r w:rsidR="00FA0359" w:rsidRPr="001C2B22">
        <w:rPr>
          <w:rStyle w:val="FootnoteReference"/>
          <w:rFonts w:cs="Times New Roman"/>
        </w:rPr>
        <w:footnoteReference w:id="39"/>
      </w:r>
      <w:r w:rsidR="5FA2DCFC" w:rsidRPr="001C2B22">
        <w:rPr>
          <w:rFonts w:cs="Times New Roman"/>
          <w:i/>
          <w:iCs/>
        </w:rPr>
        <w:t xml:space="preserve"> </w:t>
      </w:r>
      <w:r w:rsidR="5FA2DCFC" w:rsidRPr="001C2B22">
        <w:rPr>
          <w:rFonts w:cs="Times New Roman"/>
        </w:rPr>
        <w:t>exposed the extent of platform collusion with government to censor America</w:t>
      </w:r>
      <w:r w:rsidR="00DF1768" w:rsidRPr="001C2B22">
        <w:rPr>
          <w:rFonts w:cs="Times New Roman"/>
        </w:rPr>
        <w:t>n</w:t>
      </w:r>
      <w:r w:rsidR="5FA2DCFC" w:rsidRPr="001C2B22">
        <w:rPr>
          <w:rFonts w:cs="Times New Roman"/>
        </w:rPr>
        <w:t>s, m</w:t>
      </w:r>
      <w:r w:rsidRPr="001C2B22">
        <w:rPr>
          <w:rFonts w:cs="Times New Roman"/>
        </w:rPr>
        <w:t xml:space="preserve">y article </w:t>
      </w:r>
      <w:r w:rsidR="5FA2DCFC" w:rsidRPr="001C2B22">
        <w:rPr>
          <w:rFonts w:cs="Times New Roman"/>
        </w:rPr>
        <w:t>foresaw the threat</w:t>
      </w:r>
      <w:proofErr w:type="gramStart"/>
      <w:r w:rsidR="5FA2DCFC" w:rsidRPr="001C2B22">
        <w:rPr>
          <w:rFonts w:cs="Times New Roman"/>
        </w:rPr>
        <w:t xml:space="preserve">. </w:t>
      </w:r>
      <w:proofErr w:type="gramEnd"/>
      <w:r w:rsidR="5FA2DCFC" w:rsidRPr="001C2B22">
        <w:rPr>
          <w:rFonts w:cs="Times New Roman"/>
        </w:rPr>
        <w:t xml:space="preserve">It </w:t>
      </w:r>
      <w:r w:rsidRPr="001C2B22">
        <w:rPr>
          <w:rFonts w:cs="Times New Roman"/>
        </w:rPr>
        <w:t xml:space="preserve">quotes </w:t>
      </w:r>
      <w:r w:rsidR="5FA2DCFC" w:rsidRPr="001C2B22">
        <w:rPr>
          <w:rFonts w:cs="Times New Roman"/>
        </w:rPr>
        <w:t xml:space="preserve">the </w:t>
      </w:r>
      <w:r w:rsidR="4F57689C" w:rsidRPr="001C2B22">
        <w:rPr>
          <w:rFonts w:cs="Times New Roman"/>
        </w:rPr>
        <w:t>much</w:t>
      </w:r>
      <w:r w:rsidR="5FA2DCFC" w:rsidRPr="001C2B22">
        <w:rPr>
          <w:rFonts w:cs="Times New Roman"/>
        </w:rPr>
        <w:t xml:space="preserve"> more-prescient Professor </w:t>
      </w:r>
      <w:r w:rsidRPr="001C2B22">
        <w:rPr>
          <w:rFonts w:cs="Times New Roman"/>
        </w:rPr>
        <w:t xml:space="preserve">Seth </w:t>
      </w:r>
      <w:proofErr w:type="spellStart"/>
      <w:r w:rsidRPr="001C2B22">
        <w:rPr>
          <w:rFonts w:cs="Times New Roman"/>
        </w:rPr>
        <w:t>Kreimer</w:t>
      </w:r>
      <w:proofErr w:type="spellEnd"/>
      <w:r w:rsidR="5FA2DCFC" w:rsidRPr="001C2B22">
        <w:rPr>
          <w:rFonts w:cs="Times New Roman"/>
        </w:rPr>
        <w:t xml:space="preserve">, writing in 2006, who </w:t>
      </w:r>
      <w:r w:rsidR="29EE7112" w:rsidRPr="001C2B22">
        <w:rPr>
          <w:rFonts w:cs="Times New Roman"/>
        </w:rPr>
        <w:t>foresaw</w:t>
      </w:r>
      <w:r w:rsidRPr="001C2B22">
        <w:rPr>
          <w:rFonts w:cs="Times New Roman"/>
        </w:rPr>
        <w:t xml:space="preserve"> </w:t>
      </w:r>
      <w:r w:rsidR="000B1906">
        <w:rPr>
          <w:rFonts w:cs="Times New Roman"/>
        </w:rPr>
        <w:t>“</w:t>
      </w:r>
      <w:r w:rsidRPr="001C2B22">
        <w:rPr>
          <w:rFonts w:cs="Times New Roman"/>
        </w:rPr>
        <w:t>[r]</w:t>
      </w:r>
      <w:proofErr w:type="spellStart"/>
      <w:r w:rsidRPr="001C2B22">
        <w:rPr>
          <w:rFonts w:cs="Times New Roman"/>
        </w:rPr>
        <w:t>ather</w:t>
      </w:r>
      <w:proofErr w:type="spellEnd"/>
      <w:r w:rsidRPr="001C2B22">
        <w:rPr>
          <w:rFonts w:cs="Times New Roman"/>
        </w:rPr>
        <w:t xml:space="preserve"> than attacking speakers or listeners directly, governments [will] enlist private actors within the chain as proxy censors to control the flow of information</w:t>
      </w:r>
      <w:r w:rsidR="000B1906">
        <w:rPr>
          <w:rFonts w:cs="Times New Roman"/>
        </w:rPr>
        <w:t>”</w:t>
      </w:r>
      <w:r w:rsidRPr="001C2B22">
        <w:rPr>
          <w:rFonts w:cs="Times New Roman"/>
        </w:rPr>
        <w:t xml:space="preserve"> on the </w:t>
      </w:r>
      <w:r w:rsidR="00E41B64">
        <w:rPr>
          <w:rFonts w:cs="Times New Roman"/>
        </w:rPr>
        <w:t>I</w:t>
      </w:r>
      <w:r w:rsidRPr="001C2B22">
        <w:rPr>
          <w:rFonts w:cs="Times New Roman"/>
        </w:rPr>
        <w:t>nternet.</w:t>
      </w:r>
      <w:r w:rsidR="000B0FD8" w:rsidRPr="001C2B22">
        <w:rPr>
          <w:rStyle w:val="FootnoteReference"/>
          <w:rFonts w:cs="Times New Roman"/>
        </w:rPr>
        <w:footnoteReference w:id="40"/>
      </w:r>
      <w:r w:rsidR="00C96280">
        <w:rPr>
          <w:rFonts w:cs="Times New Roman"/>
        </w:rPr>
        <w:t xml:space="preserve"> </w:t>
      </w:r>
      <w:r w:rsidR="5FA2DCFC" w:rsidRPr="001C2B22">
        <w:rPr>
          <w:rFonts w:cs="Times New Roman"/>
        </w:rPr>
        <w:t>And, that</w:t>
      </w:r>
      <w:r w:rsidR="000B1906">
        <w:rPr>
          <w:rFonts w:cs="Times New Roman"/>
        </w:rPr>
        <w:t>’</w:t>
      </w:r>
      <w:r w:rsidR="5FA2DCFC" w:rsidRPr="001C2B22">
        <w:rPr>
          <w:rFonts w:cs="Times New Roman"/>
        </w:rPr>
        <w:t xml:space="preserve">s what </w:t>
      </w:r>
      <w:r w:rsidR="0E8C67CD" w:rsidRPr="001C2B22">
        <w:rPr>
          <w:rFonts w:cs="Times New Roman"/>
        </w:rPr>
        <w:t>government did to silence</w:t>
      </w:r>
      <w:r w:rsidR="5FA2DCFC" w:rsidRPr="001C2B22">
        <w:rPr>
          <w:rFonts w:cs="Times New Roman"/>
        </w:rPr>
        <w:t xml:space="preserve"> critics of</w:t>
      </w:r>
      <w:r w:rsidR="0E8C67CD" w:rsidRPr="001C2B22">
        <w:rPr>
          <w:rFonts w:cs="Times New Roman"/>
        </w:rPr>
        <w:t xml:space="preserve"> federal and state </w:t>
      </w:r>
      <w:r w:rsidR="5FA2DCFC" w:rsidRPr="001C2B22">
        <w:rPr>
          <w:rFonts w:cs="Times New Roman"/>
        </w:rPr>
        <w:t xml:space="preserve">COVID </w:t>
      </w:r>
      <w:r w:rsidR="0E8C67CD" w:rsidRPr="001C2B22">
        <w:rPr>
          <w:rFonts w:cs="Times New Roman"/>
        </w:rPr>
        <w:t>responses</w:t>
      </w:r>
      <w:r w:rsidR="5FA2DCFC" w:rsidRPr="001C2B22">
        <w:rPr>
          <w:rFonts w:cs="Times New Roman"/>
        </w:rPr>
        <w:t xml:space="preserve">, </w:t>
      </w:r>
      <w:r w:rsidR="0E8C67CD" w:rsidRPr="001C2B22">
        <w:rPr>
          <w:rFonts w:cs="Times New Roman"/>
        </w:rPr>
        <w:t xml:space="preserve">reporters covering </w:t>
      </w:r>
      <w:r w:rsidR="5FA2DCFC" w:rsidRPr="001C2B22">
        <w:rPr>
          <w:rFonts w:cs="Times New Roman"/>
        </w:rPr>
        <w:t>Hunter Biden</w:t>
      </w:r>
      <w:r w:rsidR="000B1906">
        <w:rPr>
          <w:rFonts w:cs="Times New Roman"/>
        </w:rPr>
        <w:t>’</w:t>
      </w:r>
      <w:r w:rsidR="5FA2DCFC" w:rsidRPr="001C2B22">
        <w:rPr>
          <w:rFonts w:cs="Times New Roman"/>
        </w:rPr>
        <w:t xml:space="preserve">s laptop, and other unpopular voices critical of the government. </w:t>
      </w:r>
    </w:p>
    <w:p w14:paraId="2674C324" w14:textId="1F28DDB0" w:rsidR="009F5638" w:rsidRDefault="009F5638" w:rsidP="00C96280">
      <w:pPr>
        <w:pStyle w:val="BodyText"/>
        <w:rPr>
          <w:rFonts w:cs="Times New Roman"/>
        </w:rPr>
      </w:pPr>
      <w:r w:rsidRPr="001C2B22">
        <w:rPr>
          <w:rFonts w:cs="Times New Roman"/>
        </w:rPr>
        <w:t xml:space="preserve">The stifling of </w:t>
      </w:r>
      <w:r w:rsidR="00FA0359" w:rsidRPr="001C2B22">
        <w:rPr>
          <w:rFonts w:cs="Times New Roman"/>
        </w:rPr>
        <w:t xml:space="preserve">leading public health experts or </w:t>
      </w:r>
      <w:r w:rsidRPr="001C2B22">
        <w:rPr>
          <w:rFonts w:cs="Times New Roman"/>
        </w:rPr>
        <w:t xml:space="preserve">major </w:t>
      </w:r>
      <w:r w:rsidR="00B50EA2" w:rsidRPr="001C2B22">
        <w:rPr>
          <w:rFonts w:cs="Times New Roman"/>
        </w:rPr>
        <w:t xml:space="preserve">news </w:t>
      </w:r>
      <w:r w:rsidR="00793B13" w:rsidRPr="001C2B22">
        <w:rPr>
          <w:rFonts w:cs="Times New Roman"/>
        </w:rPr>
        <w:t>stor</w:t>
      </w:r>
      <w:r w:rsidR="00793B13">
        <w:rPr>
          <w:rFonts w:cs="Times New Roman"/>
        </w:rPr>
        <w:t>ies</w:t>
      </w:r>
      <w:r w:rsidR="00793B13" w:rsidRPr="001C2B22">
        <w:rPr>
          <w:rFonts w:cs="Times New Roman"/>
        </w:rPr>
        <w:t xml:space="preserve"> </w:t>
      </w:r>
      <w:r w:rsidRPr="001C2B22">
        <w:rPr>
          <w:rFonts w:cs="Times New Roman"/>
        </w:rPr>
        <w:t xml:space="preserve">on the </w:t>
      </w:r>
      <w:r w:rsidR="00B50EA2" w:rsidRPr="001C2B22">
        <w:rPr>
          <w:rFonts w:cs="Times New Roman"/>
        </w:rPr>
        <w:t>cusp</w:t>
      </w:r>
      <w:r w:rsidRPr="001C2B22">
        <w:rPr>
          <w:rFonts w:cs="Times New Roman"/>
        </w:rPr>
        <w:t xml:space="preserve"> of an election </w:t>
      </w:r>
      <w:r w:rsidR="00CC585B" w:rsidRPr="001C2B22">
        <w:rPr>
          <w:rFonts w:cs="Times New Roman"/>
        </w:rPr>
        <w:t>is</w:t>
      </w:r>
      <w:r w:rsidRPr="001C2B22">
        <w:rPr>
          <w:rFonts w:cs="Times New Roman"/>
        </w:rPr>
        <w:t xml:space="preserve"> </w:t>
      </w:r>
      <w:r w:rsidR="00CC585B" w:rsidRPr="001C2B22">
        <w:rPr>
          <w:rFonts w:cs="Times New Roman"/>
        </w:rPr>
        <w:t xml:space="preserve">partisan </w:t>
      </w:r>
      <w:r w:rsidRPr="001C2B22">
        <w:rPr>
          <w:rFonts w:cs="Times New Roman"/>
        </w:rPr>
        <w:t>interference with the democratic process</w:t>
      </w:r>
      <w:proofErr w:type="gramStart"/>
      <w:r w:rsidRPr="001C2B22">
        <w:rPr>
          <w:rFonts w:cs="Times New Roman"/>
        </w:rPr>
        <w:t xml:space="preserve">. </w:t>
      </w:r>
      <w:proofErr w:type="gramEnd"/>
      <w:r w:rsidR="00D6257E" w:rsidRPr="001C2B22">
        <w:rPr>
          <w:rFonts w:cs="Times New Roman"/>
        </w:rPr>
        <w:t>Texas</w:t>
      </w:r>
      <w:r w:rsidR="000B1906">
        <w:rPr>
          <w:rFonts w:cs="Times New Roman"/>
        </w:rPr>
        <w:t>’</w:t>
      </w:r>
      <w:r w:rsidR="00D6257E" w:rsidRPr="001C2B22">
        <w:rPr>
          <w:rFonts w:cs="Times New Roman"/>
        </w:rPr>
        <w:t xml:space="preserve"> </w:t>
      </w:r>
      <w:r w:rsidR="00CC585B" w:rsidRPr="001C2B22">
        <w:rPr>
          <w:rFonts w:cs="Times New Roman"/>
        </w:rPr>
        <w:t xml:space="preserve">H.B. 20 </w:t>
      </w:r>
      <w:r w:rsidR="00D6257E" w:rsidRPr="001C2B22">
        <w:rPr>
          <w:rFonts w:cs="Times New Roman"/>
        </w:rPr>
        <w:t xml:space="preserve">prohibiting viewpoint discrimination would have made </w:t>
      </w:r>
      <w:r w:rsidR="00240D3B" w:rsidRPr="001C2B22">
        <w:rPr>
          <w:rFonts w:cs="Times New Roman"/>
        </w:rPr>
        <w:t>such interference</w:t>
      </w:r>
      <w:r w:rsidR="00D6257E" w:rsidRPr="001C2B22">
        <w:rPr>
          <w:rFonts w:cs="Times New Roman"/>
        </w:rPr>
        <w:t xml:space="preserve"> illegal.</w:t>
      </w:r>
      <w:r w:rsidR="00C41830" w:rsidRPr="001C2B22">
        <w:rPr>
          <w:rFonts w:cs="Times New Roman"/>
        </w:rPr>
        <w:t xml:space="preserve"> </w:t>
      </w:r>
    </w:p>
    <w:p w14:paraId="1E452EFE" w14:textId="70074184" w:rsidR="00002D62" w:rsidRDefault="00002D62" w:rsidP="00002D62">
      <w:pPr>
        <w:pStyle w:val="Heading1"/>
        <w:numPr>
          <w:ilvl w:val="0"/>
          <w:numId w:val="5"/>
        </w:numPr>
      </w:pPr>
      <w:bookmarkStart w:id="4" w:name="_Toc164183610"/>
      <w:r>
        <w:t>Conclusion</w:t>
      </w:r>
      <w:bookmarkEnd w:id="4"/>
    </w:p>
    <w:p w14:paraId="53E994AB" w14:textId="3A0649AC" w:rsidR="0078292B" w:rsidRDefault="00733973" w:rsidP="00623EBD">
      <w:pPr>
        <w:pStyle w:val="BodyText"/>
        <w:rPr>
          <w:rFonts w:cs="Times New Roman"/>
        </w:rPr>
        <w:sectPr w:rsidR="0078292B" w:rsidSect="00FE287A">
          <w:headerReference w:type="even" r:id="rId8"/>
          <w:headerReference w:type="default" r:id="rId9"/>
          <w:footerReference w:type="first" r:id="rId10"/>
          <w:pgSz w:w="9360" w:h="14400"/>
          <w:pgMar w:top="720" w:right="1296" w:bottom="720" w:left="1296" w:header="720" w:footer="720" w:gutter="0"/>
          <w:pgNumType w:start="339"/>
          <w:cols w:space="720"/>
          <w:titlePg/>
          <w:docGrid w:linePitch="360"/>
        </w:sectPr>
      </w:pPr>
      <w:r w:rsidRPr="001C2B22">
        <w:rPr>
          <w:rFonts w:cs="Times New Roman"/>
          <w:i/>
          <w:iCs/>
        </w:rPr>
        <w:t>Regulatory Implications</w:t>
      </w:r>
      <w:r w:rsidR="009F5638" w:rsidRPr="001C2B22">
        <w:rPr>
          <w:rFonts w:cs="Times New Roman"/>
        </w:rPr>
        <w:t xml:space="preserve"> finds </w:t>
      </w:r>
      <w:r w:rsidR="00843CF1" w:rsidRPr="001C2B22">
        <w:rPr>
          <w:rFonts w:cs="Times New Roman"/>
        </w:rPr>
        <w:t xml:space="preserve">my claim </w:t>
      </w:r>
      <w:r w:rsidR="009F5638" w:rsidRPr="001C2B22">
        <w:rPr>
          <w:rFonts w:cs="Times New Roman"/>
        </w:rPr>
        <w:t>paradoxical</w:t>
      </w:r>
      <w:r w:rsidR="007D270E" w:rsidRPr="001C2B22">
        <w:rPr>
          <w:rFonts w:cs="Times New Roman"/>
        </w:rPr>
        <w:t xml:space="preserve"> that non-discrimination rules would make it more difficult </w:t>
      </w:r>
      <w:r w:rsidR="00D6257E" w:rsidRPr="001C2B22">
        <w:rPr>
          <w:rFonts w:cs="Times New Roman"/>
        </w:rPr>
        <w:t>for government to pressure the platforms to silence its critic</w:t>
      </w:r>
      <w:r w:rsidR="00CC585B" w:rsidRPr="001C2B22">
        <w:rPr>
          <w:rFonts w:cs="Times New Roman"/>
        </w:rPr>
        <w:t>—because those rules are government-created</w:t>
      </w:r>
      <w:r w:rsidR="00D6257E" w:rsidRPr="001C2B22">
        <w:rPr>
          <w:rFonts w:cs="Times New Roman"/>
        </w:rPr>
        <w:t xml:space="preserve">. </w:t>
      </w:r>
      <w:r w:rsidR="00484F71" w:rsidRPr="001C2B22">
        <w:rPr>
          <w:rFonts w:cs="Times New Roman"/>
        </w:rPr>
        <w:t>I do not dispute</w:t>
      </w:r>
      <w:r w:rsidR="00612BBA" w:rsidRPr="001C2B22">
        <w:rPr>
          <w:rFonts w:cs="Times New Roman"/>
        </w:rPr>
        <w:t xml:space="preserve"> </w:t>
      </w:r>
      <w:r w:rsidR="00FA0359" w:rsidRPr="001C2B22">
        <w:rPr>
          <w:rFonts w:cs="Times New Roman"/>
        </w:rPr>
        <w:t xml:space="preserve">the </w:t>
      </w:r>
      <w:r w:rsidR="00484F71" w:rsidRPr="001C2B22">
        <w:rPr>
          <w:rFonts w:cs="Times New Roman"/>
        </w:rPr>
        <w:t xml:space="preserve">claim that </w:t>
      </w:r>
      <w:r w:rsidRPr="001C2B22">
        <w:rPr>
          <w:rFonts w:cs="Times New Roman"/>
        </w:rPr>
        <w:t xml:space="preserve">regulation </w:t>
      </w:r>
      <w:r w:rsidR="0033537C" w:rsidRPr="001C2B22">
        <w:rPr>
          <w:rFonts w:cs="Times New Roman"/>
        </w:rPr>
        <w:t>tends to</w:t>
      </w:r>
      <w:r w:rsidRPr="001C2B22">
        <w:rPr>
          <w:rFonts w:cs="Times New Roman"/>
        </w:rPr>
        <w:t xml:space="preserve"> bring </w:t>
      </w:r>
      <w:r w:rsidR="00304FA1" w:rsidRPr="001C2B22">
        <w:rPr>
          <w:rFonts w:cs="Times New Roman"/>
        </w:rPr>
        <w:t>administrative agencies</w:t>
      </w:r>
      <w:r w:rsidRPr="001C2B22">
        <w:rPr>
          <w:rFonts w:cs="Times New Roman"/>
        </w:rPr>
        <w:t xml:space="preserve"> and regulated entities closer</w:t>
      </w:r>
      <w:r w:rsidR="00D6257E" w:rsidRPr="001C2B22">
        <w:rPr>
          <w:rFonts w:cs="Times New Roman"/>
        </w:rPr>
        <w:t xml:space="preserve">. </w:t>
      </w:r>
      <w:r w:rsidRPr="001C2B22">
        <w:rPr>
          <w:rFonts w:cs="Times New Roman"/>
        </w:rPr>
        <w:t xml:space="preserve">Of course it does. </w:t>
      </w:r>
      <w:r w:rsidR="00D6257E" w:rsidRPr="001C2B22">
        <w:rPr>
          <w:rFonts w:cs="Times New Roman"/>
        </w:rPr>
        <w:t xml:space="preserve">But, </w:t>
      </w:r>
      <w:r w:rsidR="004E6B53" w:rsidRPr="001C2B22">
        <w:rPr>
          <w:rFonts w:cs="Times New Roman"/>
        </w:rPr>
        <w:t>common carri</w:t>
      </w:r>
      <w:r w:rsidR="00612BBA" w:rsidRPr="001C2B22">
        <w:rPr>
          <w:rFonts w:cs="Times New Roman"/>
        </w:rPr>
        <w:t>er</w:t>
      </w:r>
      <w:r w:rsidR="004E6B53" w:rsidRPr="001C2B22">
        <w:rPr>
          <w:rFonts w:cs="Times New Roman"/>
        </w:rPr>
        <w:t xml:space="preserve"> non-discrimination law, adjudicated by the courts</w:t>
      </w:r>
      <w:r w:rsidR="006E4A40" w:rsidRPr="001C2B22">
        <w:rPr>
          <w:rFonts w:cs="Times New Roman"/>
        </w:rPr>
        <w:t>,</w:t>
      </w:r>
      <w:r w:rsidR="004E6B53" w:rsidRPr="001C2B22">
        <w:rPr>
          <w:rFonts w:cs="Times New Roman"/>
        </w:rPr>
        <w:t xml:space="preserve"> is unlikely to do so</w:t>
      </w:r>
      <w:r w:rsidRPr="001C2B22">
        <w:rPr>
          <w:rFonts w:cs="Times New Roman"/>
        </w:rPr>
        <w:t xml:space="preserve">. And </w:t>
      </w:r>
      <w:r w:rsidR="00391679" w:rsidRPr="001C2B22">
        <w:rPr>
          <w:rFonts w:cs="Times New Roman"/>
        </w:rPr>
        <w:t>has</w:t>
      </w:r>
      <w:r w:rsidR="00CC585B" w:rsidRPr="001C2B22">
        <w:rPr>
          <w:rFonts w:cs="Times New Roman"/>
        </w:rPr>
        <w:t xml:space="preserve"> not do</w:t>
      </w:r>
      <w:r w:rsidR="00391679" w:rsidRPr="001C2B22">
        <w:rPr>
          <w:rFonts w:cs="Times New Roman"/>
        </w:rPr>
        <w:t>ne</w:t>
      </w:r>
      <w:r w:rsidR="00CC585B" w:rsidRPr="001C2B22">
        <w:rPr>
          <w:rFonts w:cs="Times New Roman"/>
        </w:rPr>
        <w:t xml:space="preserve"> so during</w:t>
      </w:r>
      <w:r w:rsidRPr="001C2B22">
        <w:rPr>
          <w:rFonts w:cs="Times New Roman"/>
        </w:rPr>
        <w:t xml:space="preserve"> </w:t>
      </w:r>
      <w:r w:rsidR="00391679" w:rsidRPr="001C2B22">
        <w:rPr>
          <w:rFonts w:cs="Times New Roman"/>
        </w:rPr>
        <w:t xml:space="preserve">the </w:t>
      </w:r>
      <w:r w:rsidRPr="001C2B22">
        <w:rPr>
          <w:rFonts w:cs="Times New Roman"/>
        </w:rPr>
        <w:t>centuries before comprehensive public utility regulatio</w:t>
      </w:r>
      <w:r w:rsidR="00612BBA" w:rsidRPr="001C2B22">
        <w:rPr>
          <w:rFonts w:cs="Times New Roman"/>
        </w:rPr>
        <w:t>n run by administrative agencies</w:t>
      </w:r>
      <w:r w:rsidR="00304FA1" w:rsidRPr="001C2B22">
        <w:rPr>
          <w:rFonts w:cs="Times New Roman"/>
        </w:rPr>
        <w:t xml:space="preserve"> </w:t>
      </w:r>
      <w:r w:rsidRPr="001C2B22">
        <w:rPr>
          <w:rFonts w:cs="Times New Roman"/>
        </w:rPr>
        <w:t>emerged in the late 19</w:t>
      </w:r>
      <w:r w:rsidRPr="001C2B22">
        <w:rPr>
          <w:rFonts w:cs="Times New Roman"/>
          <w:vertAlign w:val="superscript"/>
        </w:rPr>
        <w:t>th</w:t>
      </w:r>
      <w:r w:rsidRPr="001C2B22">
        <w:rPr>
          <w:rFonts w:cs="Times New Roman"/>
        </w:rPr>
        <w:t xml:space="preserve"> and early 20</w:t>
      </w:r>
      <w:r w:rsidRPr="001C2B22">
        <w:rPr>
          <w:rFonts w:cs="Times New Roman"/>
          <w:vertAlign w:val="superscript"/>
        </w:rPr>
        <w:t>th</w:t>
      </w:r>
      <w:r w:rsidRPr="001C2B22">
        <w:rPr>
          <w:rFonts w:cs="Times New Roman"/>
        </w:rPr>
        <w:t xml:space="preserve"> century. Common carrier-type non-discrimination laws, like H.B. 20, </w:t>
      </w:r>
      <w:r w:rsidR="00A57C8B" w:rsidRPr="001C2B22">
        <w:rPr>
          <w:rFonts w:cs="Times New Roman"/>
        </w:rPr>
        <w:t>give</w:t>
      </w:r>
      <w:r w:rsidRPr="001C2B22">
        <w:rPr>
          <w:rFonts w:cs="Times New Roman"/>
        </w:rPr>
        <w:t xml:space="preserve"> individuals a legal leg to stand on when faced with ever greater government and business collusion</w:t>
      </w:r>
      <w:r w:rsidR="00A57C8B" w:rsidRPr="001C2B22">
        <w:rPr>
          <w:rFonts w:cs="Times New Roman"/>
        </w:rPr>
        <w:t xml:space="preserve"> aimed at free speech</w:t>
      </w:r>
      <w:r w:rsidRPr="001C2B22">
        <w:rPr>
          <w:rFonts w:cs="Times New Roman"/>
        </w:rPr>
        <w:t>.</w:t>
      </w:r>
      <w:r w:rsidR="00304FA1" w:rsidRPr="001C2B22">
        <w:rPr>
          <w:rFonts w:cs="Times New Roman"/>
        </w:rPr>
        <w:t xml:space="preserve"> One would hope that </w:t>
      </w:r>
      <w:r w:rsidR="00A57C8B" w:rsidRPr="001C2B22">
        <w:rPr>
          <w:rFonts w:cs="Times New Roman"/>
        </w:rPr>
        <w:t xml:space="preserve">all </w:t>
      </w:r>
      <w:r w:rsidR="00304FA1" w:rsidRPr="001C2B22">
        <w:rPr>
          <w:rFonts w:cs="Times New Roman"/>
        </w:rPr>
        <w:t xml:space="preserve">free market enthusiasts, of which I certainly count myself, would look favorably on the law. </w:t>
      </w:r>
    </w:p>
    <w:p w14:paraId="6C55E4FC" w14:textId="77777777" w:rsidR="0078292B" w:rsidRPr="001C2B22" w:rsidRDefault="0078292B" w:rsidP="00623EBD">
      <w:pPr>
        <w:pStyle w:val="BodyText"/>
        <w:ind w:firstLine="0"/>
        <w:rPr>
          <w:rFonts w:cs="Times New Roman"/>
        </w:rPr>
      </w:pPr>
    </w:p>
    <w:sectPr w:rsidR="0078292B" w:rsidRPr="001C2B22" w:rsidSect="00FE287A">
      <w:footerReference w:type="first" r:id="rId11"/>
      <w:pgSz w:w="9360" w:h="14400"/>
      <w:pgMar w:top="720" w:right="1296" w:bottom="720" w:left="1296" w:header="720" w:footer="720" w:gutter="0"/>
      <w:pgNumType w:start="3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E392" w14:textId="77777777" w:rsidR="00FE287A" w:rsidRDefault="00FE287A" w:rsidP="00B65CD2">
      <w:r>
        <w:separator/>
      </w:r>
    </w:p>
  </w:endnote>
  <w:endnote w:type="continuationSeparator" w:id="0">
    <w:p w14:paraId="1AD77362" w14:textId="77777777" w:rsidR="00FE287A" w:rsidRDefault="00FE287A" w:rsidP="00B6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Cn">
    <w:altName w:val="Arial"/>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B83D" w14:textId="712317F4" w:rsidR="0078292B" w:rsidRPr="0078292B" w:rsidRDefault="0078292B" w:rsidP="0078292B">
    <w:pPr>
      <w:pStyle w:val="Footer"/>
      <w:jc w:val="center"/>
      <w:rPr>
        <w:sz w:val="22"/>
        <w:szCs w:val="22"/>
      </w:rPr>
    </w:pPr>
    <w:r>
      <w:rPr>
        <w:sz w:val="22"/>
        <w:szCs w:val="22"/>
      </w:rPr>
      <w:t>- 339 -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00A" w14:textId="79CCD695" w:rsidR="0078292B" w:rsidRPr="0078292B" w:rsidRDefault="0078292B" w:rsidP="0078292B">
    <w:pPr>
      <w:pStyle w:val="Footer"/>
      <w:jc w:val="center"/>
      <w:rPr>
        <w:sz w:val="22"/>
        <w:szCs w:val="22"/>
      </w:rPr>
    </w:pPr>
    <w:r>
      <w:rPr>
        <w:sz w:val="22"/>
        <w:szCs w:val="22"/>
      </w:rPr>
      <w:t>- 3</w:t>
    </w:r>
    <w:r w:rsidR="00C90178">
      <w:rPr>
        <w:sz w:val="22"/>
        <w:szCs w:val="22"/>
      </w:rPr>
      <w:t>48</w:t>
    </w: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49AF" w14:textId="77777777" w:rsidR="00FE287A" w:rsidRDefault="00FE287A" w:rsidP="00B65CD2">
      <w:r>
        <w:separator/>
      </w:r>
    </w:p>
  </w:footnote>
  <w:footnote w:type="continuationSeparator" w:id="0">
    <w:p w14:paraId="4AE2D657" w14:textId="77777777" w:rsidR="00FE287A" w:rsidRDefault="00FE287A" w:rsidP="00B65CD2">
      <w:r>
        <w:continuationSeparator/>
      </w:r>
    </w:p>
  </w:footnote>
  <w:footnote w:id="1">
    <w:p w14:paraId="35940AED" w14:textId="0737842B" w:rsidR="008044F0" w:rsidRPr="00642002" w:rsidRDefault="008044F0" w:rsidP="001179A4">
      <w:pPr>
        <w:pStyle w:val="FootnoteText"/>
        <w:jc w:val="both"/>
      </w:pPr>
      <w:r w:rsidRPr="00642002">
        <w:rPr>
          <w:rStyle w:val="FootnoteReference"/>
          <w:vertAlign w:val="baseline"/>
        </w:rPr>
        <w:t>*</w:t>
      </w:r>
      <w:r w:rsidRPr="00642002">
        <w:tab/>
        <w:t>Adam Candeub is a professor at Michigan State University</w:t>
      </w:r>
      <w:r w:rsidR="000B1906">
        <w:t>’</w:t>
      </w:r>
      <w:r w:rsidRPr="00642002">
        <w:t xml:space="preserve">s College of Law and the director of </w:t>
      </w:r>
      <w:r w:rsidR="00416247">
        <w:t>its</w:t>
      </w:r>
      <w:r w:rsidRPr="00642002">
        <w:t xml:space="preserve"> Intellectual Property, Information &amp; Communications Law Program.</w:t>
      </w:r>
    </w:p>
  </w:footnote>
  <w:footnote w:id="2">
    <w:p w14:paraId="4753F342" w14:textId="43642CF9" w:rsidR="00E4152E"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E4152E" w:rsidRPr="00642002">
        <w:rPr>
          <w:rFonts w:cs="Times New Roman"/>
          <w:szCs w:val="18"/>
        </w:rPr>
        <w:t xml:space="preserve">76 </w:t>
      </w:r>
      <w:r w:rsidR="00E4152E" w:rsidRPr="00642002">
        <w:rPr>
          <w:rFonts w:cs="Times New Roman"/>
          <w:smallCaps/>
          <w:szCs w:val="18"/>
        </w:rPr>
        <w:t>Fed. Comm. L.J</w:t>
      </w:r>
      <w:r w:rsidR="00E4152E" w:rsidRPr="00642002">
        <w:rPr>
          <w:rFonts w:cs="Times New Roman"/>
          <w:szCs w:val="18"/>
        </w:rPr>
        <w:t xml:space="preserve">. 1, </w:t>
      </w:r>
      <w:r w:rsidR="007271E1" w:rsidRPr="00642002">
        <w:rPr>
          <w:rFonts w:cs="Times New Roman"/>
          <w:szCs w:val="18"/>
        </w:rPr>
        <w:t>7-19</w:t>
      </w:r>
      <w:r w:rsidR="00E4152E" w:rsidRPr="00642002">
        <w:rPr>
          <w:rFonts w:cs="Times New Roman"/>
          <w:szCs w:val="18"/>
        </w:rPr>
        <w:t xml:space="preserve"> (2023)</w:t>
      </w:r>
      <w:r w:rsidR="00F02622" w:rsidRPr="00642002">
        <w:rPr>
          <w:rFonts w:cs="Times New Roman"/>
          <w:szCs w:val="18"/>
        </w:rPr>
        <w:t xml:space="preserve"> [hereinafter </w:t>
      </w:r>
      <w:r w:rsidR="00F02622" w:rsidRPr="00642002">
        <w:rPr>
          <w:rFonts w:cs="Times New Roman"/>
          <w:i/>
          <w:iCs/>
          <w:szCs w:val="18"/>
        </w:rPr>
        <w:t>Regulatory Implications</w:t>
      </w:r>
      <w:r w:rsidR="00F02622" w:rsidRPr="00642002">
        <w:rPr>
          <w:rFonts w:cs="Times New Roman"/>
          <w:szCs w:val="18"/>
        </w:rPr>
        <w:t>]</w:t>
      </w:r>
      <w:r w:rsidR="00E4152E" w:rsidRPr="00642002">
        <w:rPr>
          <w:rFonts w:cs="Times New Roman"/>
          <w:szCs w:val="18"/>
        </w:rPr>
        <w:t>.</w:t>
      </w:r>
    </w:p>
  </w:footnote>
  <w:footnote w:id="3">
    <w:p w14:paraId="0FFF80CF" w14:textId="37CB604B" w:rsidR="00B65CD2"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B65CD2" w:rsidRPr="00642002">
        <w:rPr>
          <w:rFonts w:cs="Times New Roman"/>
          <w:i/>
          <w:iCs/>
          <w:szCs w:val="18"/>
        </w:rPr>
        <w:t>Bargaining for Free Speech: Common Carriage, Network Neutrality, and Section 230</w:t>
      </w:r>
      <w:r w:rsidR="00B65CD2" w:rsidRPr="00642002">
        <w:rPr>
          <w:rFonts w:cs="Times New Roman"/>
          <w:szCs w:val="18"/>
        </w:rPr>
        <w:t xml:space="preserve">, 22 </w:t>
      </w:r>
      <w:r w:rsidR="009D6AC1" w:rsidRPr="00642002">
        <w:rPr>
          <w:rFonts w:cs="Times New Roman"/>
          <w:smallCaps/>
          <w:szCs w:val="18"/>
        </w:rPr>
        <w:t xml:space="preserve">Yale J.L. &amp; Tech. </w:t>
      </w:r>
      <w:r w:rsidR="00B65CD2" w:rsidRPr="00642002">
        <w:rPr>
          <w:rFonts w:cs="Times New Roman"/>
          <w:szCs w:val="18"/>
        </w:rPr>
        <w:t>391 (2020</w:t>
      </w:r>
      <w:r w:rsidR="00E44353" w:rsidRPr="00642002">
        <w:rPr>
          <w:rFonts w:cs="Times New Roman"/>
          <w:szCs w:val="18"/>
        </w:rPr>
        <w:t>).</w:t>
      </w:r>
    </w:p>
  </w:footnote>
  <w:footnote w:id="4">
    <w:p w14:paraId="77E80DE5" w14:textId="363AF7F5" w:rsidR="00612BB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612BBA" w:rsidRPr="00642002">
        <w:rPr>
          <w:rStyle w:val="Emphasis"/>
          <w:rFonts w:cs="Times New Roman"/>
          <w:szCs w:val="18"/>
          <w:bdr w:val="none" w:sz="0" w:space="0" w:color="auto" w:frame="1"/>
          <w:shd w:val="clear" w:color="auto" w:fill="FFFFFF"/>
        </w:rPr>
        <w:t>Treating Social Media Platforms Like Common Carriers?</w:t>
      </w:r>
      <w:r w:rsidR="00763C2C" w:rsidRPr="00642002">
        <w:rPr>
          <w:rFonts w:cs="Times New Roman"/>
          <w:szCs w:val="18"/>
          <w:shd w:val="clear" w:color="auto" w:fill="FFFFFF"/>
        </w:rPr>
        <w:t xml:space="preserve"> 1</w:t>
      </w:r>
      <w:r w:rsidR="00612BBA" w:rsidRPr="00642002">
        <w:rPr>
          <w:rFonts w:cs="Times New Roman"/>
          <w:szCs w:val="18"/>
          <w:shd w:val="clear" w:color="auto" w:fill="FFFFFF"/>
        </w:rPr>
        <w:t> </w:t>
      </w:r>
      <w:r w:rsidR="00612BBA" w:rsidRPr="00642002">
        <w:rPr>
          <w:rStyle w:val="cosmallcaps"/>
          <w:rFonts w:cs="Times New Roman"/>
          <w:smallCaps/>
          <w:szCs w:val="18"/>
          <w:bdr w:val="none" w:sz="0" w:space="0" w:color="auto" w:frame="1"/>
          <w:shd w:val="clear" w:color="auto" w:fill="FFFFFF"/>
        </w:rPr>
        <w:t>J</w:t>
      </w:r>
      <w:r w:rsidR="009D6AC1" w:rsidRPr="00642002">
        <w:rPr>
          <w:rStyle w:val="cosmallcaps"/>
          <w:rFonts w:cs="Times New Roman"/>
          <w:smallCaps/>
          <w:szCs w:val="18"/>
          <w:bdr w:val="none" w:sz="0" w:space="0" w:color="auto" w:frame="1"/>
          <w:shd w:val="clear" w:color="auto" w:fill="FFFFFF"/>
        </w:rPr>
        <w:t>. Free Speech L</w:t>
      </w:r>
      <w:r w:rsidR="00612BBA" w:rsidRPr="00642002">
        <w:rPr>
          <w:rStyle w:val="cosmallcaps"/>
          <w:rFonts w:cs="Times New Roman"/>
          <w:smallCaps/>
          <w:szCs w:val="18"/>
          <w:bdr w:val="none" w:sz="0" w:space="0" w:color="auto" w:frame="1"/>
          <w:shd w:val="clear" w:color="auto" w:fill="FFFFFF"/>
        </w:rPr>
        <w:t>.</w:t>
      </w:r>
      <w:r w:rsidR="00612BBA" w:rsidRPr="00642002">
        <w:rPr>
          <w:rFonts w:cs="Times New Roman"/>
          <w:szCs w:val="18"/>
          <w:shd w:val="clear" w:color="auto" w:fill="FFFFFF"/>
        </w:rPr>
        <w:t> 377 (2021).</w:t>
      </w:r>
    </w:p>
  </w:footnote>
  <w:footnote w:id="5">
    <w:p w14:paraId="354732B1" w14:textId="5EFE4BD6" w:rsidR="00F3159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F3159A" w:rsidRPr="00642002">
        <w:rPr>
          <w:rFonts w:cs="Times New Roman"/>
          <w:szCs w:val="18"/>
          <w:bdr w:val="none" w:sz="0" w:space="0" w:color="auto" w:frame="1"/>
        </w:rPr>
        <w:t>NetChoice, L.L.C. v. Paxton</w:t>
      </w:r>
      <w:r w:rsidR="00F3159A" w:rsidRPr="00642002">
        <w:rPr>
          <w:rFonts w:cs="Times New Roman"/>
          <w:szCs w:val="18"/>
        </w:rPr>
        <w:t>, 49 F.4th 439, 446 (5th Cir. 2022</w:t>
      </w:r>
      <w:r w:rsidR="00F3159A" w:rsidRPr="00642002">
        <w:rPr>
          <w:rFonts w:cs="Times New Roman"/>
          <w:i/>
          <w:iCs/>
          <w:szCs w:val="18"/>
        </w:rPr>
        <w:t xml:space="preserve">), </w:t>
      </w:r>
      <w:r w:rsidR="00F3159A" w:rsidRPr="00642002">
        <w:rPr>
          <w:rFonts w:cs="Times New Roman"/>
          <w:i/>
          <w:iCs/>
          <w:szCs w:val="18"/>
          <w:bdr w:val="none" w:sz="0" w:space="0" w:color="auto" w:frame="1"/>
        </w:rPr>
        <w:t>cert. granted in part sub nom.</w:t>
      </w:r>
      <w:r w:rsidR="00F3159A" w:rsidRPr="00642002">
        <w:rPr>
          <w:rFonts w:cs="Times New Roman"/>
          <w:szCs w:val="18"/>
        </w:rPr>
        <w:t xml:space="preserve"> </w:t>
      </w:r>
      <w:r w:rsidR="00F3159A" w:rsidRPr="00642002">
        <w:rPr>
          <w:rFonts w:cs="Times New Roman"/>
          <w:szCs w:val="18"/>
          <w:bdr w:val="none" w:sz="0" w:space="0" w:color="auto" w:frame="1"/>
        </w:rPr>
        <w:t>Net</w:t>
      </w:r>
      <w:r w:rsidR="00A9432C" w:rsidRPr="00642002">
        <w:rPr>
          <w:rFonts w:cs="Times New Roman"/>
          <w:szCs w:val="18"/>
          <w:bdr w:val="none" w:sz="0" w:space="0" w:color="auto" w:frame="1"/>
        </w:rPr>
        <w:t>C</w:t>
      </w:r>
      <w:r w:rsidR="00F3159A" w:rsidRPr="00642002">
        <w:rPr>
          <w:rFonts w:cs="Times New Roman"/>
          <w:szCs w:val="18"/>
          <w:bdr w:val="none" w:sz="0" w:space="0" w:color="auto" w:frame="1"/>
        </w:rPr>
        <w:t>hoice, LLC v. Paxton</w:t>
      </w:r>
      <w:r w:rsidR="00F3159A" w:rsidRPr="00642002">
        <w:rPr>
          <w:rFonts w:cs="Times New Roman"/>
          <w:szCs w:val="18"/>
        </w:rPr>
        <w:t xml:space="preserve">, </w:t>
      </w:r>
      <w:r w:rsidR="005B62A6" w:rsidRPr="00642002">
        <w:rPr>
          <w:rFonts w:cs="Times New Roman"/>
          <w:szCs w:val="18"/>
        </w:rPr>
        <w:t>144 S. Ct. 477</w:t>
      </w:r>
      <w:r w:rsidR="00F3159A" w:rsidRPr="00642002">
        <w:rPr>
          <w:rFonts w:cs="Times New Roman"/>
          <w:szCs w:val="18"/>
        </w:rPr>
        <w:t xml:space="preserve"> (2023)</w:t>
      </w:r>
      <w:r w:rsidRPr="00642002">
        <w:rPr>
          <w:rFonts w:cs="Times New Roman"/>
          <w:szCs w:val="18"/>
        </w:rPr>
        <w:t>.</w:t>
      </w:r>
    </w:p>
  </w:footnote>
  <w:footnote w:id="6">
    <w:p w14:paraId="6CECEBE5" w14:textId="6D9F9AAB" w:rsidR="00F3159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F3159A" w:rsidRPr="00642002">
        <w:rPr>
          <w:rFonts w:cs="Times New Roman"/>
          <w:i/>
          <w:iCs/>
          <w:szCs w:val="18"/>
        </w:rPr>
        <w:t xml:space="preserve">Id. </w:t>
      </w:r>
      <w:r w:rsidR="00F3159A" w:rsidRPr="00642002">
        <w:rPr>
          <w:rFonts w:cs="Times New Roman"/>
          <w:szCs w:val="18"/>
        </w:rPr>
        <w:t>at 396</w:t>
      </w:r>
      <w:r w:rsidR="00F3159A" w:rsidRPr="00642002">
        <w:rPr>
          <w:rFonts w:cs="Times New Roman"/>
          <w:i/>
          <w:iCs/>
          <w:szCs w:val="18"/>
        </w:rPr>
        <w:t xml:space="preserve"> </w:t>
      </w:r>
      <w:r w:rsidR="00F3159A" w:rsidRPr="00642002">
        <w:rPr>
          <w:rFonts w:cs="Times New Roman"/>
          <w:szCs w:val="18"/>
        </w:rPr>
        <w:t>(</w:t>
      </w:r>
      <w:r w:rsidR="000B1906">
        <w:rPr>
          <w:rFonts w:cs="Times New Roman"/>
          <w:szCs w:val="18"/>
        </w:rPr>
        <w:t>“</w:t>
      </w:r>
      <w:r w:rsidR="00F3159A" w:rsidRPr="00642002">
        <w:rPr>
          <w:rFonts w:cs="Times New Roman"/>
          <w:szCs w:val="18"/>
        </w:rPr>
        <w:t>In exchange for liability relief from tort or antitrust law and for other government-granted privileges, a dominant network firm provides public goods it can uniquely offer: a universal communications platform enabling free speech and promoting democratic institutions.</w:t>
      </w:r>
      <w:r w:rsidR="000B1906">
        <w:rPr>
          <w:rFonts w:cs="Times New Roman"/>
          <w:szCs w:val="18"/>
        </w:rPr>
        <w:t>”</w:t>
      </w:r>
      <w:r w:rsidR="009D6AC1" w:rsidRPr="00642002">
        <w:rPr>
          <w:rFonts w:cs="Times New Roman"/>
          <w:szCs w:val="18"/>
        </w:rPr>
        <w:t>).</w:t>
      </w:r>
      <w:r w:rsidR="00F85D2F" w:rsidRPr="00642002">
        <w:rPr>
          <w:rFonts w:cs="Times New Roman"/>
          <w:szCs w:val="18"/>
        </w:rPr>
        <w:t xml:space="preserve"> </w:t>
      </w:r>
      <w:r w:rsidR="00F85D2F" w:rsidRPr="00642002">
        <w:rPr>
          <w:rFonts w:cs="Times New Roman"/>
          <w:i/>
          <w:iCs/>
          <w:szCs w:val="18"/>
        </w:rPr>
        <w:t xml:space="preserve">See also </w:t>
      </w:r>
      <w:r w:rsidR="00F85D2F" w:rsidRPr="00642002">
        <w:rPr>
          <w:rFonts w:cs="Times New Roman"/>
          <w:szCs w:val="18"/>
          <w:bdr w:val="none" w:sz="0" w:space="0" w:color="auto" w:frame="1"/>
        </w:rPr>
        <w:t>S. Pac. Commc</w:t>
      </w:r>
      <w:r w:rsidR="000B1906">
        <w:rPr>
          <w:rFonts w:cs="Times New Roman"/>
          <w:szCs w:val="18"/>
          <w:bdr w:val="none" w:sz="0" w:space="0" w:color="auto" w:frame="1"/>
        </w:rPr>
        <w:t>’</w:t>
      </w:r>
      <w:r w:rsidR="00F85D2F" w:rsidRPr="00642002">
        <w:rPr>
          <w:rFonts w:cs="Times New Roman"/>
          <w:szCs w:val="18"/>
          <w:bdr w:val="none" w:sz="0" w:space="0" w:color="auto" w:frame="1"/>
        </w:rPr>
        <w:t>ns Co. v. Am. Tel. &amp; Tel. Co.</w:t>
      </w:r>
      <w:r w:rsidR="00F85D2F" w:rsidRPr="00642002">
        <w:rPr>
          <w:rFonts w:cs="Times New Roman"/>
          <w:szCs w:val="18"/>
        </w:rPr>
        <w:t xml:space="preserve">, 556 F. Supp. 825, 1095 (D.D.C. 1982), </w:t>
      </w:r>
      <w:r w:rsidR="00F85D2F" w:rsidRPr="00642002">
        <w:rPr>
          <w:rFonts w:cs="Times New Roman"/>
          <w:i/>
          <w:iCs/>
          <w:szCs w:val="18"/>
          <w:bdr w:val="none" w:sz="0" w:space="0" w:color="auto" w:frame="1"/>
        </w:rPr>
        <w:t>as amended</w:t>
      </w:r>
      <w:r w:rsidR="00F85D2F" w:rsidRPr="00642002">
        <w:rPr>
          <w:rFonts w:cs="Times New Roman"/>
          <w:szCs w:val="18"/>
        </w:rPr>
        <w:t xml:space="preserve"> (Jan. 10, 1983), </w:t>
      </w:r>
      <w:r w:rsidR="00F85D2F" w:rsidRPr="00642002">
        <w:rPr>
          <w:rFonts w:cs="Times New Roman"/>
          <w:i/>
          <w:iCs/>
          <w:szCs w:val="18"/>
          <w:bdr w:val="none" w:sz="0" w:space="0" w:color="auto" w:frame="1"/>
        </w:rPr>
        <w:t>aff</w:t>
      </w:r>
      <w:r w:rsidR="000B1906">
        <w:rPr>
          <w:rFonts w:cs="Times New Roman"/>
          <w:i/>
          <w:iCs/>
          <w:szCs w:val="18"/>
          <w:bdr w:val="none" w:sz="0" w:space="0" w:color="auto" w:frame="1"/>
        </w:rPr>
        <w:t>’</w:t>
      </w:r>
      <w:r w:rsidR="00F85D2F" w:rsidRPr="00642002">
        <w:rPr>
          <w:rFonts w:cs="Times New Roman"/>
          <w:i/>
          <w:iCs/>
          <w:szCs w:val="18"/>
          <w:bdr w:val="none" w:sz="0" w:space="0" w:color="auto" w:frame="1"/>
        </w:rPr>
        <w:t>d</w:t>
      </w:r>
      <w:r w:rsidR="00F85D2F" w:rsidRPr="00642002">
        <w:rPr>
          <w:rFonts w:cs="Times New Roman"/>
          <w:szCs w:val="18"/>
          <w:bdr w:val="none" w:sz="0" w:space="0" w:color="auto" w:frame="1"/>
        </w:rPr>
        <w:t>,</w:t>
      </w:r>
      <w:r w:rsidR="00F85D2F" w:rsidRPr="00642002">
        <w:rPr>
          <w:rFonts w:cs="Times New Roman"/>
          <w:szCs w:val="18"/>
        </w:rPr>
        <w:t xml:space="preserve"> 740 F.2d 980 (D.C. Cir. 1984) (</w:t>
      </w:r>
      <w:r w:rsidR="000B1906">
        <w:rPr>
          <w:rFonts w:cs="Times New Roman"/>
          <w:szCs w:val="18"/>
        </w:rPr>
        <w:t>“</w:t>
      </w:r>
      <w:r w:rsidR="00F85D2F" w:rsidRPr="00642002">
        <w:rPr>
          <w:rFonts w:cs="Times New Roman"/>
          <w:szCs w:val="18"/>
        </w:rPr>
        <w:t xml:space="preserve">Under the controlling decisions of the Supreme Court, it is undisputed that matters subject to a pervasive scheme of </w:t>
      </w:r>
      <w:r w:rsidR="00F85D2F" w:rsidRPr="00642002">
        <w:rPr>
          <w:rFonts w:cs="Times New Roman"/>
          <w:szCs w:val="18"/>
          <w:bdr w:val="none" w:sz="0" w:space="0" w:color="auto" w:frame="1"/>
          <w:shd w:val="clear" w:color="auto" w:fill="FFFFFF"/>
        </w:rPr>
        <w:t>public</w:t>
      </w:r>
      <w:r w:rsidR="00F85D2F" w:rsidRPr="00642002">
        <w:rPr>
          <w:rFonts w:cs="Times New Roman"/>
          <w:szCs w:val="18"/>
        </w:rPr>
        <w:t xml:space="preserve"> </w:t>
      </w:r>
      <w:r w:rsidR="00F85D2F" w:rsidRPr="00642002">
        <w:rPr>
          <w:rFonts w:cs="Times New Roman"/>
          <w:szCs w:val="18"/>
          <w:bdr w:val="none" w:sz="0" w:space="0" w:color="auto" w:frame="1"/>
          <w:shd w:val="clear" w:color="auto" w:fill="FFFFFF"/>
        </w:rPr>
        <w:t>utility</w:t>
      </w:r>
      <w:r w:rsidR="00F85D2F" w:rsidRPr="00642002">
        <w:rPr>
          <w:rFonts w:cs="Times New Roman"/>
          <w:szCs w:val="18"/>
        </w:rPr>
        <w:t xml:space="preserve"> or </w:t>
      </w:r>
      <w:r w:rsidR="00F85D2F" w:rsidRPr="00642002">
        <w:rPr>
          <w:rFonts w:cs="Times New Roman"/>
          <w:szCs w:val="18"/>
          <w:bdr w:val="none" w:sz="0" w:space="0" w:color="auto" w:frame="1"/>
          <w:shd w:val="clear" w:color="auto" w:fill="FFFFFF"/>
        </w:rPr>
        <w:t>common</w:t>
      </w:r>
      <w:r w:rsidR="00F85D2F" w:rsidRPr="00642002">
        <w:rPr>
          <w:rFonts w:cs="Times New Roman"/>
          <w:szCs w:val="18"/>
        </w:rPr>
        <w:t xml:space="preserve"> </w:t>
      </w:r>
      <w:r w:rsidR="00F85D2F" w:rsidRPr="00642002">
        <w:rPr>
          <w:rFonts w:cs="Times New Roman"/>
          <w:szCs w:val="18"/>
          <w:bdr w:val="none" w:sz="0" w:space="0" w:color="auto" w:frame="1"/>
          <w:shd w:val="clear" w:color="auto" w:fill="FFFFFF"/>
        </w:rPr>
        <w:t>carrier</w:t>
      </w:r>
      <w:r w:rsidR="00F85D2F" w:rsidRPr="00642002">
        <w:rPr>
          <w:rFonts w:cs="Times New Roman"/>
          <w:szCs w:val="18"/>
        </w:rPr>
        <w:t xml:space="preserve"> regulation are not subject to the antitrust laws.</w:t>
      </w:r>
      <w:r w:rsidR="000B1906">
        <w:rPr>
          <w:rFonts w:cs="Times New Roman"/>
          <w:szCs w:val="18"/>
        </w:rPr>
        <w:t>”</w:t>
      </w:r>
      <w:r w:rsidR="00F85D2F" w:rsidRPr="00642002">
        <w:rPr>
          <w:rFonts w:cs="Times New Roman"/>
          <w:szCs w:val="18"/>
        </w:rPr>
        <w:t>) (cleaned up);</w:t>
      </w:r>
      <w:r w:rsidR="00F85D2F" w:rsidRPr="00642002">
        <w:rPr>
          <w:rFonts w:cs="Times New Roman"/>
          <w:szCs w:val="18"/>
          <w:shd w:val="clear" w:color="auto" w:fill="FFFFFF"/>
        </w:rPr>
        <w:t xml:space="preserve"> Verizon Comm</w:t>
      </w:r>
      <w:r w:rsidR="00314260" w:rsidRPr="00642002">
        <w:rPr>
          <w:rFonts w:cs="Times New Roman"/>
          <w:szCs w:val="18"/>
          <w:shd w:val="clear" w:color="auto" w:fill="FFFFFF"/>
        </w:rPr>
        <w:t>c</w:t>
      </w:r>
      <w:r w:rsidR="000B1906">
        <w:rPr>
          <w:rFonts w:cs="Times New Roman"/>
          <w:szCs w:val="18"/>
          <w:shd w:val="clear" w:color="auto" w:fill="FFFFFF"/>
        </w:rPr>
        <w:t>’</w:t>
      </w:r>
      <w:r w:rsidR="00F85D2F" w:rsidRPr="00642002">
        <w:rPr>
          <w:rFonts w:cs="Times New Roman"/>
          <w:szCs w:val="18"/>
          <w:shd w:val="clear" w:color="auto" w:fill="FFFFFF"/>
        </w:rPr>
        <w:t>ns, Inc. v. Law Offs</w:t>
      </w:r>
      <w:r w:rsidR="00520094" w:rsidRPr="00642002">
        <w:rPr>
          <w:rFonts w:cs="Times New Roman"/>
          <w:szCs w:val="18"/>
          <w:shd w:val="clear" w:color="auto" w:fill="FFFFFF"/>
        </w:rPr>
        <w:t>.</w:t>
      </w:r>
      <w:r w:rsidR="00F85D2F" w:rsidRPr="00642002">
        <w:rPr>
          <w:rFonts w:cs="Times New Roman"/>
          <w:szCs w:val="18"/>
          <w:shd w:val="clear" w:color="auto" w:fill="FFFFFF"/>
        </w:rPr>
        <w:t xml:space="preserve"> of Curtis V. Trinko, LLP, 540 U</w:t>
      </w:r>
      <w:r w:rsidRPr="00642002">
        <w:rPr>
          <w:rFonts w:cs="Times New Roman"/>
          <w:szCs w:val="18"/>
          <w:shd w:val="clear" w:color="auto" w:fill="FFFFFF"/>
        </w:rPr>
        <w:t>.</w:t>
      </w:r>
      <w:r w:rsidR="00F85D2F" w:rsidRPr="00642002">
        <w:rPr>
          <w:rFonts w:cs="Times New Roman"/>
          <w:szCs w:val="18"/>
          <w:shd w:val="clear" w:color="auto" w:fill="FFFFFF"/>
        </w:rPr>
        <w:t>S</w:t>
      </w:r>
      <w:r w:rsidRPr="00642002">
        <w:rPr>
          <w:rFonts w:cs="Times New Roman"/>
          <w:szCs w:val="18"/>
          <w:shd w:val="clear" w:color="auto" w:fill="FFFFFF"/>
        </w:rPr>
        <w:t>.</w:t>
      </w:r>
      <w:r w:rsidR="00F85D2F" w:rsidRPr="00642002">
        <w:rPr>
          <w:rFonts w:cs="Times New Roman"/>
          <w:szCs w:val="18"/>
          <w:shd w:val="clear" w:color="auto" w:fill="FFFFFF"/>
        </w:rPr>
        <w:t xml:space="preserve"> 398</w:t>
      </w:r>
      <w:r w:rsidR="00647D30" w:rsidRPr="00642002">
        <w:rPr>
          <w:rFonts w:cs="Times New Roman"/>
          <w:szCs w:val="18"/>
          <w:shd w:val="clear" w:color="auto" w:fill="FFFFFF"/>
        </w:rPr>
        <w:t>, 412</w:t>
      </w:r>
      <w:r w:rsidR="00F85D2F" w:rsidRPr="00642002">
        <w:rPr>
          <w:rFonts w:cs="Times New Roman"/>
          <w:szCs w:val="18"/>
          <w:shd w:val="clear" w:color="auto" w:fill="FFFFFF"/>
        </w:rPr>
        <w:t xml:space="preserve"> (2003) (</w:t>
      </w:r>
      <w:r w:rsidR="000B1906">
        <w:rPr>
          <w:rFonts w:cs="Times New Roman"/>
          <w:szCs w:val="18"/>
          <w:shd w:val="clear" w:color="auto" w:fill="FFFFFF"/>
        </w:rPr>
        <w:t>“</w:t>
      </w:r>
      <w:r w:rsidR="00F85D2F" w:rsidRPr="00642002">
        <w:rPr>
          <w:rFonts w:cs="Times New Roman"/>
          <w:szCs w:val="18"/>
          <w:shd w:val="clear" w:color="auto" w:fill="FFFFFF"/>
        </w:rPr>
        <w:t>One factor of particular importance is the existence of a regulatory structure designed to deter and remedy anticompetitive harm [the Telecomm. Act of 1996]. Where such a structure exists, the additional benefit to competition provided by antitrust enforcement will tend to be small, and it will be less plausible that the antitrust laws contemplate such additional scrutiny.</w:t>
      </w:r>
      <w:r w:rsidR="000B1906">
        <w:rPr>
          <w:rFonts w:cs="Times New Roman"/>
          <w:szCs w:val="18"/>
          <w:shd w:val="clear" w:color="auto" w:fill="FFFFFF"/>
        </w:rPr>
        <w:t>”</w:t>
      </w:r>
      <w:r w:rsidR="00F85D2F" w:rsidRPr="00642002">
        <w:rPr>
          <w:rFonts w:cs="Times New Roman"/>
          <w:szCs w:val="18"/>
          <w:shd w:val="clear" w:color="auto" w:fill="FFFFFF"/>
        </w:rPr>
        <w:t>).</w:t>
      </w:r>
    </w:p>
  </w:footnote>
  <w:footnote w:id="7">
    <w:p w14:paraId="776DBD43" w14:textId="564BCDB7" w:rsidR="00F3159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i/>
          <w:iCs/>
          <w:szCs w:val="18"/>
          <w:vertAlign w:val="baseline"/>
        </w:rPr>
        <w:tab/>
      </w:r>
      <w:r w:rsidR="005A7F70" w:rsidRPr="00642002">
        <w:rPr>
          <w:rFonts w:cs="Times New Roman"/>
          <w:i/>
          <w:iCs/>
          <w:szCs w:val="18"/>
        </w:rPr>
        <w:t>NetChoice</w:t>
      </w:r>
      <w:r w:rsidR="005A7F70" w:rsidRPr="00642002">
        <w:rPr>
          <w:rFonts w:cs="Times New Roman"/>
          <w:szCs w:val="18"/>
        </w:rPr>
        <w:t>, 49 F.4th</w:t>
      </w:r>
      <w:r w:rsidR="00F85D2F" w:rsidRPr="00642002">
        <w:rPr>
          <w:rFonts w:cs="Times New Roman"/>
          <w:szCs w:val="18"/>
        </w:rPr>
        <w:t xml:space="preserve"> at </w:t>
      </w:r>
      <w:r w:rsidR="00F85D2F" w:rsidRPr="00642002">
        <w:rPr>
          <w:rFonts w:eastAsiaTheme="minorHAnsi" w:cs="Times New Roman"/>
          <w:szCs w:val="18"/>
          <w14:ligatures w14:val="standardContextual"/>
        </w:rPr>
        <w:t>465-66.</w:t>
      </w:r>
    </w:p>
  </w:footnote>
  <w:footnote w:id="8">
    <w:p w14:paraId="5FE568D9" w14:textId="21D23D86" w:rsidR="002C7951"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5A7F70" w:rsidRPr="00642002">
        <w:rPr>
          <w:rFonts w:cs="Times New Roman"/>
          <w:i/>
          <w:iCs/>
          <w:szCs w:val="18"/>
        </w:rPr>
        <w:t>Regulatory Implications</w:t>
      </w:r>
      <w:r w:rsidR="00BF1102" w:rsidRPr="00642002">
        <w:rPr>
          <w:rFonts w:cs="Times New Roman"/>
          <w:i/>
          <w:iCs/>
          <w:szCs w:val="18"/>
        </w:rPr>
        <w:t>,</w:t>
      </w:r>
      <w:r w:rsidR="00280696" w:rsidRPr="00642002">
        <w:rPr>
          <w:rFonts w:cs="Times New Roman"/>
          <w:i/>
          <w:iCs/>
          <w:szCs w:val="18"/>
        </w:rPr>
        <w:t xml:space="preserve"> supra </w:t>
      </w:r>
      <w:r w:rsidR="00280696" w:rsidRPr="00642002">
        <w:rPr>
          <w:rFonts w:cs="Times New Roman"/>
          <w:szCs w:val="18"/>
        </w:rPr>
        <w:t>note 1</w:t>
      </w:r>
      <w:r w:rsidR="002E5992" w:rsidRPr="00642002">
        <w:rPr>
          <w:rFonts w:cs="Times New Roman"/>
          <w:szCs w:val="18"/>
        </w:rPr>
        <w:t>,</w:t>
      </w:r>
      <w:r w:rsidR="002C7951" w:rsidRPr="00642002">
        <w:rPr>
          <w:rFonts w:cs="Times New Roman"/>
          <w:szCs w:val="18"/>
        </w:rPr>
        <w:t xml:space="preserve"> at 4</w:t>
      </w:r>
      <w:r w:rsidR="0002671B">
        <w:rPr>
          <w:rFonts w:cs="Times New Roman"/>
          <w:szCs w:val="18"/>
        </w:rPr>
        <w:t>, 6</w:t>
      </w:r>
      <w:r w:rsidR="002C7951" w:rsidRPr="00642002">
        <w:rPr>
          <w:rFonts w:cs="Times New Roman"/>
          <w:szCs w:val="18"/>
        </w:rPr>
        <w:t xml:space="preserve">. </w:t>
      </w:r>
    </w:p>
  </w:footnote>
  <w:footnote w:id="9">
    <w:p w14:paraId="47636E92" w14:textId="4E2312B7" w:rsidR="00C4665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C4665A" w:rsidRPr="00642002">
        <w:rPr>
          <w:rFonts w:cs="Times New Roman"/>
          <w:i/>
          <w:iCs/>
          <w:szCs w:val="18"/>
        </w:rPr>
        <w:t xml:space="preserve">Id. </w:t>
      </w:r>
      <w:r w:rsidR="00C4665A" w:rsidRPr="00642002">
        <w:rPr>
          <w:rFonts w:cs="Times New Roman"/>
          <w:szCs w:val="18"/>
        </w:rPr>
        <w:t>at 7.</w:t>
      </w:r>
      <w:r w:rsidR="005A7F70" w:rsidRPr="00642002">
        <w:rPr>
          <w:rFonts w:cs="Times New Roman"/>
          <w:szCs w:val="18"/>
        </w:rPr>
        <w:t xml:space="preserve"> My article does not mention public utility law at all, except by once referencing a book with the phrase in its title. The article was about common carrier non-discrimination requirements. It is undisputed that public utility law and common carrier law are different. Common carrier law is a set of rules originating in the 14</w:t>
      </w:r>
      <w:r w:rsidR="005A7F70" w:rsidRPr="00642002">
        <w:rPr>
          <w:rFonts w:cs="Times New Roman"/>
          <w:szCs w:val="18"/>
          <w:vertAlign w:val="superscript"/>
        </w:rPr>
        <w:t>th</w:t>
      </w:r>
      <w:r w:rsidR="005A7F70" w:rsidRPr="00642002">
        <w:rPr>
          <w:rFonts w:cs="Times New Roman"/>
          <w:szCs w:val="18"/>
        </w:rPr>
        <w:t xml:space="preserve"> century or so in England dealing primarily with non-discrimination and liability.</w:t>
      </w:r>
      <w:r w:rsidR="005A7F70" w:rsidRPr="00642002">
        <w:rPr>
          <w:rFonts w:cs="Times New Roman"/>
          <w:b/>
          <w:bCs/>
          <w:szCs w:val="18"/>
        </w:rPr>
        <w:t xml:space="preserve"> </w:t>
      </w:r>
      <w:r w:rsidR="00094E81" w:rsidRPr="00642002">
        <w:rPr>
          <w:rFonts w:cs="Times New Roman"/>
          <w:i/>
          <w:iCs/>
          <w:szCs w:val="18"/>
        </w:rPr>
        <w:t xml:space="preserve">See </w:t>
      </w:r>
      <w:r w:rsidR="005A7F70" w:rsidRPr="00642002">
        <w:rPr>
          <w:rFonts w:cs="Times New Roman"/>
          <w:szCs w:val="18"/>
        </w:rPr>
        <w:t xml:space="preserve">Thomas B. Nachbar, </w:t>
      </w:r>
      <w:r w:rsidR="005A7F70" w:rsidRPr="00642002">
        <w:rPr>
          <w:rFonts w:cs="Times New Roman"/>
          <w:i/>
          <w:iCs/>
          <w:szCs w:val="18"/>
        </w:rPr>
        <w:t>The Public Network</w:t>
      </w:r>
      <w:r w:rsidR="005A7F70" w:rsidRPr="00642002">
        <w:rPr>
          <w:rFonts w:cs="Times New Roman"/>
          <w:szCs w:val="18"/>
        </w:rPr>
        <w:t xml:space="preserve">, 17 </w:t>
      </w:r>
      <w:r w:rsidR="005A7F70" w:rsidRPr="00642002">
        <w:rPr>
          <w:rFonts w:cs="Times New Roman"/>
          <w:smallCaps/>
          <w:szCs w:val="18"/>
        </w:rPr>
        <w:t>CommLaw Conspectus</w:t>
      </w:r>
      <w:r w:rsidR="005A7F70" w:rsidRPr="00642002">
        <w:rPr>
          <w:rFonts w:cs="Times New Roman"/>
          <w:szCs w:val="18"/>
        </w:rPr>
        <w:t xml:space="preserve"> 67, 76 (2008) (</w:t>
      </w:r>
      <w:r w:rsidR="000B1906">
        <w:rPr>
          <w:rFonts w:cs="Times New Roman"/>
          <w:szCs w:val="18"/>
        </w:rPr>
        <w:t>“</w:t>
      </w:r>
      <w:r w:rsidR="005A7F70" w:rsidRPr="00642002">
        <w:rPr>
          <w:rFonts w:cs="Times New Roman"/>
          <w:szCs w:val="18"/>
        </w:rPr>
        <w:t xml:space="preserve">At common law, and as a matter of custom pre-dating legal recognition, certain industries have been regulated under nondiscrimination regimes. The most familiar form of nondiscrimination rules are those imposed on so-called </w:t>
      </w:r>
      <w:r w:rsidR="000B1906">
        <w:rPr>
          <w:rFonts w:cs="Times New Roman"/>
          <w:szCs w:val="18"/>
        </w:rPr>
        <w:t>‘</w:t>
      </w:r>
      <w:r w:rsidR="005A7F70" w:rsidRPr="00642002">
        <w:rPr>
          <w:rFonts w:cs="Times New Roman"/>
          <w:szCs w:val="18"/>
        </w:rPr>
        <w:t>common carriers,</w:t>
      </w:r>
      <w:r w:rsidR="000B1906">
        <w:rPr>
          <w:rFonts w:cs="Times New Roman"/>
          <w:szCs w:val="18"/>
        </w:rPr>
        <w:t>’</w:t>
      </w:r>
      <w:r w:rsidR="005A7F70" w:rsidRPr="00642002">
        <w:rPr>
          <w:rFonts w:cs="Times New Roman"/>
          <w:szCs w:val="18"/>
        </w:rPr>
        <w:t xml:space="preserve"> businesses carrying persons or goods from place to place.</w:t>
      </w:r>
      <w:r w:rsidR="000B1906">
        <w:rPr>
          <w:rFonts w:cs="Times New Roman"/>
          <w:szCs w:val="18"/>
        </w:rPr>
        <w:t>”</w:t>
      </w:r>
      <w:r w:rsidR="005A7F70" w:rsidRPr="00642002">
        <w:rPr>
          <w:rFonts w:cs="Times New Roman"/>
          <w:szCs w:val="18"/>
        </w:rPr>
        <w:t>). Public utility law, in contrast, is a late 19</w:t>
      </w:r>
      <w:r w:rsidR="005A7F70" w:rsidRPr="00642002">
        <w:rPr>
          <w:rFonts w:cs="Times New Roman"/>
          <w:szCs w:val="18"/>
          <w:vertAlign w:val="superscript"/>
        </w:rPr>
        <w:t>th</w:t>
      </w:r>
      <w:r w:rsidR="005A7F70" w:rsidRPr="00642002">
        <w:rPr>
          <w:rFonts w:cs="Times New Roman"/>
          <w:szCs w:val="18"/>
        </w:rPr>
        <w:t xml:space="preserve"> century invention with much broader regulatory implications.</w:t>
      </w:r>
      <w:r w:rsidRPr="00642002">
        <w:rPr>
          <w:rFonts w:cs="Times New Roman"/>
          <w:szCs w:val="18"/>
        </w:rPr>
        <w:t xml:space="preserve"> </w:t>
      </w:r>
      <w:r w:rsidR="005A7F70" w:rsidRPr="00642002">
        <w:rPr>
          <w:rFonts w:cs="Times New Roman"/>
          <w:i/>
          <w:iCs/>
          <w:szCs w:val="18"/>
        </w:rPr>
        <w:t xml:space="preserve">See </w:t>
      </w:r>
      <w:r w:rsidR="005A7F70" w:rsidRPr="00642002">
        <w:rPr>
          <w:rFonts w:cs="Times New Roman"/>
          <w:szCs w:val="18"/>
        </w:rPr>
        <w:t xml:space="preserve">William Boyd, </w:t>
      </w:r>
      <w:r w:rsidR="005A7F70" w:rsidRPr="00642002">
        <w:rPr>
          <w:rFonts w:cs="Times New Roman"/>
          <w:i/>
          <w:iCs/>
          <w:szCs w:val="18"/>
        </w:rPr>
        <w:t>Just Price, Public Utility, and the Long History of Economic Regulation in America</w:t>
      </w:r>
      <w:r w:rsidR="005A7F70" w:rsidRPr="00642002">
        <w:rPr>
          <w:rFonts w:cs="Times New Roman"/>
          <w:szCs w:val="18"/>
        </w:rPr>
        <w:t xml:space="preserve">, 35 </w:t>
      </w:r>
      <w:r w:rsidR="005A7F70" w:rsidRPr="00642002">
        <w:rPr>
          <w:rFonts w:cs="Times New Roman"/>
          <w:smallCaps/>
          <w:szCs w:val="18"/>
        </w:rPr>
        <w:t>Yale J. on Reg</w:t>
      </w:r>
      <w:r w:rsidR="005A7F70" w:rsidRPr="00642002">
        <w:rPr>
          <w:rFonts w:cs="Times New Roman"/>
          <w:szCs w:val="18"/>
        </w:rPr>
        <w:t>. 721, 754</w:t>
      </w:r>
      <w:r w:rsidR="00F02622" w:rsidRPr="00642002">
        <w:rPr>
          <w:rFonts w:cs="Times New Roman"/>
          <w:szCs w:val="18"/>
        </w:rPr>
        <w:t>-</w:t>
      </w:r>
      <w:r w:rsidR="005A7F70" w:rsidRPr="00642002">
        <w:rPr>
          <w:rFonts w:cs="Times New Roman"/>
          <w:szCs w:val="18"/>
        </w:rPr>
        <w:t>57 (2018) (</w:t>
      </w:r>
      <w:r w:rsidR="000B1906">
        <w:rPr>
          <w:rFonts w:cs="Times New Roman"/>
          <w:szCs w:val="18"/>
        </w:rPr>
        <w:t>“</w:t>
      </w:r>
      <w:r w:rsidR="005A7F70" w:rsidRPr="00642002">
        <w:rPr>
          <w:rFonts w:cs="Times New Roman"/>
          <w:szCs w:val="18"/>
        </w:rPr>
        <w:t>Building on the experience of state railroad commissions and the Interstate Commerce Commission, state regulation of public utilities emerged around the turn of the century</w:t>
      </w:r>
      <w:r w:rsidR="00D5465A" w:rsidRPr="00642002">
        <w:rPr>
          <w:rFonts w:cs="Times New Roman"/>
          <w:szCs w:val="18"/>
        </w:rPr>
        <w:t> . . .</w:t>
      </w:r>
      <w:r w:rsidR="005A7F70" w:rsidRPr="00642002">
        <w:rPr>
          <w:rFonts w:cs="Times New Roman"/>
          <w:szCs w:val="18"/>
        </w:rPr>
        <w:t xml:space="preserve"> These were quintessential Progressive-era laws, built on principles of scientific management and regulation by experts.</w:t>
      </w:r>
      <w:r w:rsidR="00274984" w:rsidRPr="00642002">
        <w:rPr>
          <w:rFonts w:cs="Times New Roman"/>
          <w:szCs w:val="18"/>
        </w:rPr>
        <w:t xml:space="preserve"> </w:t>
      </w:r>
      <w:r w:rsidR="005A7F70" w:rsidRPr="00642002">
        <w:rPr>
          <w:rFonts w:cs="Times New Roman"/>
          <w:szCs w:val="18"/>
        </w:rPr>
        <w:t>Statutory mandates were typically broad and open-ended, founded on the goal of ensuring that rates were just, reasonable, and nondiscriminatory in order to strike the appropriate balance between ratepayers and investors.</w:t>
      </w:r>
      <w:r w:rsidR="000B1906">
        <w:rPr>
          <w:rFonts w:cs="Times New Roman"/>
          <w:szCs w:val="18"/>
        </w:rPr>
        <w:t>”</w:t>
      </w:r>
      <w:r w:rsidR="005A7F70" w:rsidRPr="00642002">
        <w:rPr>
          <w:rFonts w:cs="Times New Roman"/>
          <w:szCs w:val="18"/>
        </w:rPr>
        <w:t>).</w:t>
      </w:r>
    </w:p>
  </w:footnote>
  <w:footnote w:id="10">
    <w:p w14:paraId="36BCC604" w14:textId="1ECEE79D" w:rsidR="00612BB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612BBA" w:rsidRPr="00642002">
        <w:rPr>
          <w:rFonts w:cs="Times New Roman"/>
          <w:i/>
          <w:iCs/>
          <w:szCs w:val="18"/>
        </w:rPr>
        <w:t xml:space="preserve">See </w:t>
      </w:r>
      <w:r w:rsidR="00C4665A" w:rsidRPr="00642002">
        <w:rPr>
          <w:rFonts w:cs="Times New Roman"/>
          <w:smallCaps/>
          <w:szCs w:val="18"/>
        </w:rPr>
        <w:t>Alfred Kahn, The Economics of Regulation: Principles and Institutions</w:t>
      </w:r>
      <w:r w:rsidR="00C4665A" w:rsidRPr="00642002">
        <w:rPr>
          <w:rFonts w:cs="Times New Roman"/>
          <w:szCs w:val="18"/>
        </w:rPr>
        <w:t xml:space="preserve"> (1988); </w:t>
      </w:r>
      <w:r w:rsidR="00DE22AB" w:rsidRPr="00642002">
        <w:rPr>
          <w:rFonts w:cs="Times New Roman"/>
          <w:szCs w:val="18"/>
        </w:rPr>
        <w:t xml:space="preserve">Meredith Hurley, </w:t>
      </w:r>
      <w:r w:rsidR="00DE22AB" w:rsidRPr="00642002">
        <w:rPr>
          <w:rFonts w:cs="Times New Roman"/>
          <w:i/>
          <w:iCs/>
          <w:szCs w:val="18"/>
          <w:bdr w:val="none" w:sz="0" w:space="0" w:color="auto" w:frame="1"/>
        </w:rPr>
        <w:t>Traditional Public Utility Law and the Demise of A Merchant Transmission Developer</w:t>
      </w:r>
      <w:r w:rsidR="00DE22AB" w:rsidRPr="00642002">
        <w:rPr>
          <w:rFonts w:cs="Times New Roman"/>
          <w:szCs w:val="18"/>
        </w:rPr>
        <w:t xml:space="preserve">, 14 </w:t>
      </w:r>
      <w:r w:rsidR="00DE22AB" w:rsidRPr="00642002">
        <w:rPr>
          <w:rFonts w:cs="Times New Roman"/>
          <w:smallCaps/>
          <w:szCs w:val="18"/>
          <w:bdr w:val="none" w:sz="0" w:space="0" w:color="auto" w:frame="1"/>
          <w:shd w:val="clear" w:color="auto" w:fill="FFFFFF"/>
        </w:rPr>
        <w:t>Nw. J. L. &amp; Soc. Pol</w:t>
      </w:r>
      <w:r w:rsidR="000B1906">
        <w:rPr>
          <w:rFonts w:cs="Times New Roman"/>
          <w:smallCaps/>
          <w:szCs w:val="18"/>
          <w:bdr w:val="none" w:sz="0" w:space="0" w:color="auto" w:frame="1"/>
          <w:shd w:val="clear" w:color="auto" w:fill="FFFFFF"/>
        </w:rPr>
        <w:t>’</w:t>
      </w:r>
      <w:r w:rsidR="00DE22AB" w:rsidRPr="00642002">
        <w:rPr>
          <w:rFonts w:cs="Times New Roman"/>
          <w:smallCaps/>
          <w:szCs w:val="18"/>
          <w:bdr w:val="none" w:sz="0" w:space="0" w:color="auto" w:frame="1"/>
          <w:shd w:val="clear" w:color="auto" w:fill="FFFFFF"/>
        </w:rPr>
        <w:t>y</w:t>
      </w:r>
      <w:r w:rsidR="00DE22AB" w:rsidRPr="00642002">
        <w:rPr>
          <w:rFonts w:cs="Times New Roman"/>
          <w:szCs w:val="18"/>
        </w:rPr>
        <w:t xml:space="preserve"> 318, 320</w:t>
      </w:r>
      <w:r w:rsidR="00F02622" w:rsidRPr="00642002">
        <w:rPr>
          <w:rFonts w:cs="Times New Roman"/>
          <w:szCs w:val="18"/>
        </w:rPr>
        <w:t>-</w:t>
      </w:r>
      <w:r w:rsidR="00DE22AB" w:rsidRPr="00642002">
        <w:rPr>
          <w:rFonts w:cs="Times New Roman"/>
          <w:szCs w:val="18"/>
        </w:rPr>
        <w:t>21 (2019) (</w:t>
      </w:r>
      <w:r w:rsidR="000B1906">
        <w:rPr>
          <w:rFonts w:cs="Times New Roman"/>
          <w:szCs w:val="18"/>
        </w:rPr>
        <w:t>“</w:t>
      </w:r>
      <w:r w:rsidR="00EE2F31" w:rsidRPr="00642002">
        <w:rPr>
          <w:rFonts w:cs="Times New Roman"/>
          <w:szCs w:val="18"/>
        </w:rPr>
        <w:t>[D]</w:t>
      </w:r>
      <w:r w:rsidR="00DE22AB" w:rsidRPr="00642002">
        <w:rPr>
          <w:rFonts w:cs="Times New Roman"/>
          <w:szCs w:val="18"/>
        </w:rPr>
        <w:t>uring this era [late 19</w:t>
      </w:r>
      <w:r w:rsidR="00DE22AB" w:rsidRPr="00642002">
        <w:rPr>
          <w:rFonts w:cs="Times New Roman"/>
          <w:szCs w:val="18"/>
          <w:vertAlign w:val="superscript"/>
        </w:rPr>
        <w:t>th</w:t>
      </w:r>
      <w:r w:rsidR="00DE22AB" w:rsidRPr="00642002">
        <w:rPr>
          <w:rFonts w:cs="Times New Roman"/>
          <w:szCs w:val="18"/>
        </w:rPr>
        <w:t xml:space="preserve"> century], </w:t>
      </w:r>
      <w:r w:rsidR="00DE22AB" w:rsidRPr="00642002">
        <w:rPr>
          <w:rFonts w:cs="Times New Roman"/>
          <w:szCs w:val="18"/>
          <w:bdr w:val="none" w:sz="0" w:space="0" w:color="auto" w:frame="1"/>
          <w:shd w:val="clear" w:color="auto" w:fill="FFFFFF"/>
        </w:rPr>
        <w:t>public</w:t>
      </w:r>
      <w:r w:rsidR="00DE22AB" w:rsidRPr="00642002">
        <w:rPr>
          <w:rFonts w:cs="Times New Roman"/>
          <w:szCs w:val="18"/>
        </w:rPr>
        <w:t xml:space="preserve"> </w:t>
      </w:r>
      <w:r w:rsidR="00DE22AB" w:rsidRPr="00642002">
        <w:rPr>
          <w:rFonts w:cs="Times New Roman"/>
          <w:szCs w:val="18"/>
          <w:bdr w:val="none" w:sz="0" w:space="0" w:color="auto" w:frame="1"/>
          <w:shd w:val="clear" w:color="auto" w:fill="FFFFFF"/>
        </w:rPr>
        <w:t>utility</w:t>
      </w:r>
      <w:r w:rsidR="00DE22AB" w:rsidRPr="00642002">
        <w:rPr>
          <w:rFonts w:cs="Times New Roman"/>
          <w:szCs w:val="18"/>
        </w:rPr>
        <w:t xml:space="preserve"> </w:t>
      </w:r>
      <w:r w:rsidR="00DE22AB" w:rsidRPr="00642002">
        <w:rPr>
          <w:rFonts w:cs="Times New Roman"/>
          <w:szCs w:val="18"/>
          <w:bdr w:val="none" w:sz="0" w:space="0" w:color="auto" w:frame="1"/>
          <w:shd w:val="clear" w:color="auto" w:fill="FFFFFF"/>
        </w:rPr>
        <w:t>law</w:t>
      </w:r>
      <w:r w:rsidR="00DE22AB" w:rsidRPr="00642002">
        <w:rPr>
          <w:rFonts w:cs="Times New Roman"/>
          <w:szCs w:val="18"/>
        </w:rPr>
        <w:t xml:space="preserve"> developed primarily around supporting vertically integrated utilities by granting them regulated monopolies</w:t>
      </w:r>
      <w:r w:rsidR="00735E5B" w:rsidRPr="00642002">
        <w:rPr>
          <w:rFonts w:cs="Times New Roman"/>
          <w:szCs w:val="18"/>
        </w:rPr>
        <w:t xml:space="preserve"> </w:t>
      </w:r>
      <w:r w:rsidR="00DE22AB" w:rsidRPr="00642002">
        <w:rPr>
          <w:rFonts w:cs="Times New Roman"/>
          <w:szCs w:val="18"/>
        </w:rPr>
        <w:t>and by protecting them from competing firms.</w:t>
      </w:r>
      <w:r w:rsidR="00DE22AB" w:rsidRPr="00642002">
        <w:rPr>
          <w:rFonts w:cs="Times New Roman"/>
          <w:szCs w:val="18"/>
          <w:bdr w:val="none" w:sz="0" w:space="0" w:color="auto" w:frame="1"/>
          <w:vertAlign w:val="superscript"/>
        </w:rPr>
        <w:t xml:space="preserve"> </w:t>
      </w:r>
      <w:r w:rsidR="00DE22AB" w:rsidRPr="00642002">
        <w:rPr>
          <w:rFonts w:cs="Times New Roman"/>
          <w:szCs w:val="18"/>
        </w:rPr>
        <w:t>In the early twentieth century, many states established state Public Utility Commissions (PUCs) to heavily regulate both the public utilities or investor-owned utilities</w:t>
      </w:r>
      <w:r w:rsidR="00750398" w:rsidRPr="00642002">
        <w:rPr>
          <w:rFonts w:cs="Times New Roman"/>
          <w:szCs w:val="18"/>
        </w:rPr>
        <w:t>.</w:t>
      </w:r>
      <w:r w:rsidR="000B1906">
        <w:rPr>
          <w:rFonts w:cs="Times New Roman"/>
          <w:szCs w:val="18"/>
        </w:rPr>
        <w:t>”</w:t>
      </w:r>
      <w:r w:rsidR="00B51598" w:rsidRPr="00642002">
        <w:rPr>
          <w:rFonts w:cs="Times New Roman"/>
          <w:szCs w:val="18"/>
        </w:rPr>
        <w:t xml:space="preserve">). </w:t>
      </w:r>
      <w:r w:rsidR="001B183D" w:rsidRPr="00642002">
        <w:rPr>
          <w:rFonts w:cs="Times New Roman"/>
          <w:i/>
          <w:iCs/>
          <w:szCs w:val="18"/>
        </w:rPr>
        <w:t xml:space="preserve">See generally </w:t>
      </w:r>
      <w:r w:rsidR="001B183D" w:rsidRPr="00642002">
        <w:rPr>
          <w:rFonts w:cs="Times New Roman"/>
          <w:szCs w:val="18"/>
        </w:rPr>
        <w:t>Harry M.</w:t>
      </w:r>
      <w:r w:rsidR="008E0B0B" w:rsidRPr="00642002">
        <w:rPr>
          <w:rFonts w:cs="Times New Roman"/>
          <w:szCs w:val="18"/>
        </w:rPr>
        <w:t xml:space="preserve"> Trebing,</w:t>
      </w:r>
      <w:r w:rsidR="001B183D" w:rsidRPr="00642002">
        <w:rPr>
          <w:rFonts w:cs="Times New Roman"/>
          <w:szCs w:val="18"/>
        </w:rPr>
        <w:t xml:space="preserve"> </w:t>
      </w:r>
      <w:r w:rsidR="001B183D" w:rsidRPr="00642002">
        <w:rPr>
          <w:rFonts w:cs="Times New Roman"/>
          <w:i/>
          <w:iCs/>
          <w:szCs w:val="18"/>
        </w:rPr>
        <w:t xml:space="preserve">Public </w:t>
      </w:r>
      <w:r w:rsidR="008E0B0B" w:rsidRPr="00642002">
        <w:rPr>
          <w:rFonts w:cs="Times New Roman"/>
          <w:i/>
          <w:iCs/>
          <w:szCs w:val="18"/>
        </w:rPr>
        <w:t>Utility Regulation: A Case Study in the Debate Over Effectiveness of Economic Regulation</w:t>
      </w:r>
      <w:r w:rsidR="008E0B0B" w:rsidRPr="00642002">
        <w:rPr>
          <w:rFonts w:cs="Times New Roman"/>
          <w:szCs w:val="18"/>
        </w:rPr>
        <w:t>,</w:t>
      </w:r>
      <w:r w:rsidR="001B183D" w:rsidRPr="00642002">
        <w:rPr>
          <w:rFonts w:cs="Times New Roman"/>
          <w:szCs w:val="18"/>
        </w:rPr>
        <w:t> </w:t>
      </w:r>
      <w:r w:rsidR="00950A3D" w:rsidRPr="00642002">
        <w:rPr>
          <w:rFonts w:cs="Times New Roman"/>
          <w:szCs w:val="18"/>
        </w:rPr>
        <w:t xml:space="preserve">18 </w:t>
      </w:r>
      <w:r w:rsidR="001B183D" w:rsidRPr="00642002">
        <w:rPr>
          <w:rFonts w:cs="Times New Roman"/>
          <w:smallCaps/>
          <w:szCs w:val="18"/>
        </w:rPr>
        <w:t>J</w:t>
      </w:r>
      <w:r w:rsidR="00950A3D" w:rsidRPr="00642002">
        <w:rPr>
          <w:rFonts w:cs="Times New Roman"/>
          <w:smallCaps/>
          <w:szCs w:val="18"/>
        </w:rPr>
        <w:t>.</w:t>
      </w:r>
      <w:r w:rsidR="001B183D" w:rsidRPr="00642002">
        <w:rPr>
          <w:rFonts w:cs="Times New Roman"/>
          <w:smallCaps/>
          <w:szCs w:val="18"/>
        </w:rPr>
        <w:t xml:space="preserve"> of Econ</w:t>
      </w:r>
      <w:r w:rsidR="00950A3D" w:rsidRPr="00642002">
        <w:rPr>
          <w:rFonts w:cs="Times New Roman"/>
          <w:smallCaps/>
          <w:szCs w:val="18"/>
        </w:rPr>
        <w:t>.</w:t>
      </w:r>
      <w:r w:rsidR="001B183D" w:rsidRPr="00642002">
        <w:rPr>
          <w:rFonts w:cs="Times New Roman"/>
          <w:smallCaps/>
          <w:szCs w:val="18"/>
        </w:rPr>
        <w:t xml:space="preserve"> Issues</w:t>
      </w:r>
      <w:r w:rsidR="001B183D" w:rsidRPr="00642002">
        <w:rPr>
          <w:rFonts w:cs="Times New Roman"/>
          <w:szCs w:val="18"/>
        </w:rPr>
        <w:t> </w:t>
      </w:r>
      <w:r w:rsidR="00950A3D" w:rsidRPr="00642002">
        <w:rPr>
          <w:rFonts w:cs="Times New Roman"/>
          <w:szCs w:val="18"/>
        </w:rPr>
        <w:t>223</w:t>
      </w:r>
      <w:r w:rsidR="00642002" w:rsidRPr="00642002">
        <w:rPr>
          <w:rFonts w:cs="Times New Roman"/>
          <w:szCs w:val="18"/>
        </w:rPr>
        <w:t>-</w:t>
      </w:r>
      <w:r w:rsidR="00950A3D" w:rsidRPr="00642002">
        <w:rPr>
          <w:rFonts w:cs="Times New Roman"/>
          <w:szCs w:val="18"/>
        </w:rPr>
        <w:t xml:space="preserve">50 </w:t>
      </w:r>
      <w:r w:rsidR="001B183D" w:rsidRPr="00642002">
        <w:rPr>
          <w:rFonts w:cs="Times New Roman"/>
          <w:szCs w:val="18"/>
        </w:rPr>
        <w:t>(1984) (</w:t>
      </w:r>
      <w:r w:rsidR="000B1906">
        <w:rPr>
          <w:rFonts w:cs="Times New Roman"/>
          <w:szCs w:val="18"/>
        </w:rPr>
        <w:t>“</w:t>
      </w:r>
      <w:r w:rsidR="001B183D" w:rsidRPr="00642002">
        <w:rPr>
          <w:rFonts w:cs="Times New Roman"/>
          <w:szCs w:val="18"/>
        </w:rPr>
        <w:t xml:space="preserve">In its modern form, [public utility regulation] began in Munn v. Illinois </w:t>
      </w:r>
      <w:r w:rsidR="00D5465A" w:rsidRPr="00642002">
        <w:rPr>
          <w:rFonts w:cs="Times New Roman"/>
          <w:szCs w:val="18"/>
        </w:rPr>
        <w:t xml:space="preserve">94 U.S. 113 </w:t>
      </w:r>
      <w:r w:rsidR="001B183D" w:rsidRPr="00642002">
        <w:rPr>
          <w:rFonts w:cs="Times New Roman"/>
          <w:szCs w:val="18"/>
        </w:rPr>
        <w:t>(</w:t>
      </w:r>
      <w:r w:rsidR="00D5465A" w:rsidRPr="00642002">
        <w:rPr>
          <w:rFonts w:cs="Times New Roman"/>
          <w:szCs w:val="18"/>
        </w:rPr>
        <w:t>1876</w:t>
      </w:r>
      <w:r w:rsidR="001B183D" w:rsidRPr="00642002">
        <w:rPr>
          <w:rFonts w:cs="Times New Roman"/>
          <w:szCs w:val="18"/>
        </w:rPr>
        <w:t>), when the U.S. Supreme Court upheld the power of the state to regulate prices for a firm that possessed the economic power to exploit its customers</w:t>
      </w:r>
      <w:r w:rsidR="005A4B8F" w:rsidRPr="00642002">
        <w:rPr>
          <w:rFonts w:cs="Times New Roman"/>
          <w:szCs w:val="18"/>
        </w:rPr>
        <w:t>.</w:t>
      </w:r>
      <w:r w:rsidR="000B1906">
        <w:rPr>
          <w:rFonts w:cs="Times New Roman"/>
          <w:szCs w:val="18"/>
        </w:rPr>
        <w:t>”</w:t>
      </w:r>
      <w:r w:rsidR="001B183D" w:rsidRPr="00642002">
        <w:rPr>
          <w:rFonts w:cs="Times New Roman"/>
          <w:szCs w:val="18"/>
        </w:rPr>
        <w:t>).</w:t>
      </w:r>
    </w:p>
  </w:footnote>
  <w:footnote w:id="11">
    <w:p w14:paraId="1801647F" w14:textId="25775204" w:rsidR="00612BBA"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612BBA" w:rsidRPr="00642002">
        <w:rPr>
          <w:rFonts w:cs="Times New Roman"/>
          <w:szCs w:val="18"/>
        </w:rPr>
        <w:t xml:space="preserve">James B. Speta, </w:t>
      </w:r>
      <w:r w:rsidR="00612BBA" w:rsidRPr="00642002">
        <w:rPr>
          <w:rFonts w:cs="Times New Roman"/>
          <w:i/>
          <w:iCs/>
          <w:szCs w:val="18"/>
          <w:bdr w:val="none" w:sz="0" w:space="0" w:color="auto" w:frame="1"/>
        </w:rPr>
        <w:t>A Common Carrier Approach to Internet Interconnection</w:t>
      </w:r>
      <w:r w:rsidR="00612BBA" w:rsidRPr="00642002">
        <w:rPr>
          <w:rFonts w:cs="Times New Roman"/>
          <w:szCs w:val="18"/>
        </w:rPr>
        <w:t xml:space="preserve">, 54 </w:t>
      </w:r>
      <w:r w:rsidR="00612BBA" w:rsidRPr="00642002">
        <w:rPr>
          <w:rFonts w:cs="Times New Roman"/>
          <w:smallCaps/>
          <w:szCs w:val="18"/>
          <w:bdr w:val="none" w:sz="0" w:space="0" w:color="auto" w:frame="1"/>
          <w:shd w:val="clear" w:color="auto" w:fill="FFFFFF"/>
        </w:rPr>
        <w:t>Fed. Comm. L.J.</w:t>
      </w:r>
      <w:r w:rsidR="00612BBA" w:rsidRPr="00642002">
        <w:rPr>
          <w:rFonts w:cs="Times New Roman"/>
          <w:szCs w:val="18"/>
        </w:rPr>
        <w:t xml:space="preserve"> 225, 227 (2002) (</w:t>
      </w:r>
      <w:r w:rsidR="000B1906">
        <w:rPr>
          <w:rFonts w:cs="Times New Roman"/>
          <w:szCs w:val="18"/>
        </w:rPr>
        <w:t>“</w:t>
      </w:r>
      <w:r w:rsidR="00612BBA" w:rsidRPr="00642002">
        <w:rPr>
          <w:rFonts w:cs="Times New Roman"/>
          <w:szCs w:val="18"/>
        </w:rPr>
        <w:t xml:space="preserve">Since at least the </w:t>
      </w:r>
      <w:r w:rsidR="00612BBA" w:rsidRPr="00642002">
        <w:rPr>
          <w:rFonts w:cs="Times New Roman"/>
          <w:szCs w:val="18"/>
          <w:bdr w:val="none" w:sz="0" w:space="0" w:color="auto" w:frame="1"/>
          <w:shd w:val="clear" w:color="auto" w:fill="FFFFFF"/>
        </w:rPr>
        <w:t>middle</w:t>
      </w:r>
      <w:r w:rsidR="00612BBA" w:rsidRPr="00642002">
        <w:rPr>
          <w:rFonts w:cs="Times New Roman"/>
          <w:szCs w:val="18"/>
        </w:rPr>
        <w:t xml:space="preserve"> </w:t>
      </w:r>
      <w:r w:rsidR="00612BBA" w:rsidRPr="00642002">
        <w:rPr>
          <w:rFonts w:cs="Times New Roman"/>
          <w:szCs w:val="18"/>
          <w:bdr w:val="none" w:sz="0" w:space="0" w:color="auto" w:frame="1"/>
          <w:shd w:val="clear" w:color="auto" w:fill="FFFFFF"/>
        </w:rPr>
        <w:t>ages</w:t>
      </w:r>
      <w:r w:rsidR="00612BBA" w:rsidRPr="00642002">
        <w:rPr>
          <w:rFonts w:cs="Times New Roman"/>
          <w:szCs w:val="18"/>
        </w:rPr>
        <w:t xml:space="preserve">, most significant carriers of communications and commerce have been regulated as </w:t>
      </w:r>
      <w:r w:rsidR="00612BBA" w:rsidRPr="00642002">
        <w:rPr>
          <w:rFonts w:cs="Times New Roman"/>
          <w:szCs w:val="18"/>
          <w:bdr w:val="none" w:sz="0" w:space="0" w:color="auto" w:frame="1"/>
          <w:shd w:val="clear" w:color="auto" w:fill="FFFFFF"/>
        </w:rPr>
        <w:t>common</w:t>
      </w:r>
      <w:r w:rsidR="00612BBA" w:rsidRPr="00642002">
        <w:rPr>
          <w:rFonts w:cs="Times New Roman"/>
          <w:szCs w:val="18"/>
        </w:rPr>
        <w:t xml:space="preserve"> </w:t>
      </w:r>
      <w:r w:rsidR="00612BBA" w:rsidRPr="00642002">
        <w:rPr>
          <w:rFonts w:cs="Times New Roman"/>
          <w:szCs w:val="18"/>
          <w:bdr w:val="none" w:sz="0" w:space="0" w:color="auto" w:frame="1"/>
          <w:shd w:val="clear" w:color="auto" w:fill="FFFFFF"/>
        </w:rPr>
        <w:t>carriers</w:t>
      </w:r>
      <w:r w:rsidR="00783EF5" w:rsidRPr="00642002">
        <w:rPr>
          <w:rFonts w:cs="Times New Roman"/>
          <w:szCs w:val="18"/>
          <w:bdr w:val="none" w:sz="0" w:space="0" w:color="auto" w:frame="1"/>
          <w:shd w:val="clear" w:color="auto" w:fill="FFFFFF"/>
        </w:rPr>
        <w:t>.</w:t>
      </w:r>
      <w:r w:rsidR="000B1906">
        <w:rPr>
          <w:rFonts w:cs="Times New Roman"/>
          <w:szCs w:val="18"/>
        </w:rPr>
        <w:t>”</w:t>
      </w:r>
      <w:r w:rsidR="00612BBA" w:rsidRPr="00642002">
        <w:rPr>
          <w:rFonts w:cs="Times New Roman"/>
          <w:szCs w:val="18"/>
        </w:rPr>
        <w:t>).</w:t>
      </w:r>
      <w:r w:rsidRPr="00642002">
        <w:rPr>
          <w:rFonts w:cs="Times New Roman"/>
          <w:szCs w:val="18"/>
        </w:rPr>
        <w:t xml:space="preserve"> </w:t>
      </w:r>
    </w:p>
  </w:footnote>
  <w:footnote w:id="12">
    <w:p w14:paraId="2429FC7B" w14:textId="0B4506C2" w:rsidR="00612BBA" w:rsidRPr="00642002" w:rsidRDefault="00C96280" w:rsidP="001179A4">
      <w:pPr>
        <w:pStyle w:val="FootnoteText"/>
        <w:jc w:val="both"/>
        <w:rPr>
          <w:rFonts w:cs="Times New Roman"/>
          <w:szCs w:val="18"/>
          <w:shd w:val="clear" w:color="auto" w:fill="FFFFFF"/>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72117C" w:rsidRPr="00642002">
        <w:rPr>
          <w:rFonts w:cs="Times New Roman"/>
          <w:szCs w:val="18"/>
          <w:shd w:val="clear" w:color="auto" w:fill="FFFFFF"/>
        </w:rPr>
        <w:t>Day v. Owen, 5 Mich. 520, 52</w:t>
      </w:r>
      <w:r w:rsidR="001A3ECD" w:rsidRPr="00642002">
        <w:rPr>
          <w:rFonts w:cs="Times New Roman"/>
          <w:szCs w:val="18"/>
          <w:shd w:val="clear" w:color="auto" w:fill="FFFFFF"/>
        </w:rPr>
        <w:t>3</w:t>
      </w:r>
      <w:r w:rsidR="0072117C" w:rsidRPr="00642002">
        <w:rPr>
          <w:rFonts w:cs="Times New Roman"/>
          <w:szCs w:val="18"/>
          <w:shd w:val="clear" w:color="auto" w:fill="FFFFFF"/>
        </w:rPr>
        <w:t xml:space="preserve"> (1858)</w:t>
      </w:r>
      <w:r w:rsidR="00DE22AB" w:rsidRPr="00642002">
        <w:rPr>
          <w:rFonts w:cs="Times New Roman"/>
          <w:szCs w:val="18"/>
          <w:shd w:val="clear" w:color="auto" w:fill="FFFFFF"/>
        </w:rPr>
        <w:t xml:space="preserve"> (</w:t>
      </w:r>
      <w:r w:rsidR="000B1906">
        <w:rPr>
          <w:rFonts w:cs="Times New Roman"/>
          <w:szCs w:val="18"/>
          <w:shd w:val="clear" w:color="auto" w:fill="FFFFFF"/>
        </w:rPr>
        <w:t>“</w:t>
      </w:r>
      <w:r w:rsidR="00FF4F0D" w:rsidRPr="00642002">
        <w:rPr>
          <w:rFonts w:cs="Times New Roman"/>
          <w:szCs w:val="18"/>
          <w:shd w:val="clear" w:color="auto" w:fill="FFFFFF"/>
        </w:rPr>
        <w:t>[A]</w:t>
      </w:r>
      <w:r w:rsidR="0072117C" w:rsidRPr="00642002">
        <w:rPr>
          <w:rFonts w:cs="Times New Roman"/>
          <w:szCs w:val="18"/>
          <w:shd w:val="clear" w:color="auto" w:fill="FFFFFF"/>
        </w:rPr>
        <w:t xml:space="preserve"> common carrier can</w:t>
      </w:r>
      <w:r w:rsidR="001A3ECD" w:rsidRPr="00642002">
        <w:rPr>
          <w:rFonts w:cs="Times New Roman"/>
          <w:szCs w:val="18"/>
          <w:shd w:val="clear" w:color="auto" w:fill="FFFFFF"/>
        </w:rPr>
        <w:t xml:space="preserve"> </w:t>
      </w:r>
      <w:r w:rsidR="0072117C" w:rsidRPr="00642002">
        <w:rPr>
          <w:rFonts w:cs="Times New Roman"/>
          <w:szCs w:val="18"/>
          <w:shd w:val="clear" w:color="auto" w:fill="FFFFFF"/>
        </w:rPr>
        <w:t>not refuse to carry any person of legal conduct and intention upon the ground of any physical or personal quality or defect, or to suit the preference or antipathies of other passengers.</w:t>
      </w:r>
      <w:r w:rsidR="000B1906">
        <w:rPr>
          <w:rFonts w:cs="Times New Roman"/>
          <w:szCs w:val="18"/>
          <w:shd w:val="clear" w:color="auto" w:fill="FFFFFF"/>
        </w:rPr>
        <w:t>”</w:t>
      </w:r>
      <w:r w:rsidR="0072117C" w:rsidRPr="00642002">
        <w:rPr>
          <w:rFonts w:cs="Times New Roman"/>
          <w:szCs w:val="18"/>
          <w:shd w:val="clear" w:color="auto" w:fill="FFFFFF"/>
        </w:rPr>
        <w:t xml:space="preserve">); </w:t>
      </w:r>
      <w:r w:rsidR="00612BBA" w:rsidRPr="00642002">
        <w:rPr>
          <w:rFonts w:cs="Times New Roman"/>
          <w:szCs w:val="18"/>
        </w:rPr>
        <w:t xml:space="preserve">Kevin Werbach, </w:t>
      </w:r>
      <w:r w:rsidR="00612BBA" w:rsidRPr="00642002">
        <w:rPr>
          <w:rFonts w:cs="Times New Roman"/>
          <w:i/>
          <w:iCs/>
          <w:szCs w:val="18"/>
          <w:bdr w:val="none" w:sz="0" w:space="0" w:color="auto" w:frame="1"/>
        </w:rPr>
        <w:t>Only Connect</w:t>
      </w:r>
      <w:r w:rsidR="00612BBA" w:rsidRPr="00642002">
        <w:rPr>
          <w:rFonts w:cs="Times New Roman"/>
          <w:szCs w:val="18"/>
        </w:rPr>
        <w:t xml:space="preserve">, 22 </w:t>
      </w:r>
      <w:r w:rsidR="00612BBA" w:rsidRPr="00642002">
        <w:rPr>
          <w:rFonts w:cs="Times New Roman"/>
          <w:smallCaps/>
          <w:szCs w:val="18"/>
          <w:bdr w:val="none" w:sz="0" w:space="0" w:color="auto" w:frame="1"/>
          <w:shd w:val="clear" w:color="auto" w:fill="FFFFFF"/>
        </w:rPr>
        <w:t>Berkeley Tech. L.J.</w:t>
      </w:r>
      <w:r w:rsidR="00612BBA" w:rsidRPr="00642002">
        <w:rPr>
          <w:rFonts w:cs="Times New Roman"/>
          <w:szCs w:val="18"/>
        </w:rPr>
        <w:t xml:space="preserve"> 1233, 1246 (2007) (</w:t>
      </w:r>
      <w:r w:rsidR="000B1906">
        <w:rPr>
          <w:rFonts w:cs="Times New Roman"/>
          <w:szCs w:val="18"/>
        </w:rPr>
        <w:t>“</w:t>
      </w:r>
      <w:r w:rsidR="00612BBA" w:rsidRPr="00642002">
        <w:rPr>
          <w:rFonts w:cs="Times New Roman"/>
          <w:szCs w:val="18"/>
        </w:rPr>
        <w:t>Common carriage is primarily a non-discrimination approach.</w:t>
      </w:r>
      <w:r w:rsidR="000B1906">
        <w:rPr>
          <w:rFonts w:cs="Times New Roman"/>
          <w:szCs w:val="18"/>
        </w:rPr>
        <w:t>”</w:t>
      </w:r>
      <w:r w:rsidR="0072117C" w:rsidRPr="00642002">
        <w:rPr>
          <w:rFonts w:cs="Times New Roman"/>
          <w:szCs w:val="18"/>
        </w:rPr>
        <w:t>).</w:t>
      </w:r>
    </w:p>
  </w:footnote>
  <w:footnote w:id="13">
    <w:p w14:paraId="28CB4EAC" w14:textId="78C192B8" w:rsidR="00906F93"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F269D5" w:rsidRPr="00642002">
        <w:rPr>
          <w:rFonts w:cs="Times New Roman"/>
          <w:szCs w:val="18"/>
        </w:rPr>
        <w:t>Barbara A.</w:t>
      </w:r>
      <w:r w:rsidR="00F81DBF" w:rsidRPr="00642002">
        <w:rPr>
          <w:rFonts w:cs="Times New Roman"/>
          <w:szCs w:val="18"/>
        </w:rPr>
        <w:t xml:space="preserve"> Cherry,</w:t>
      </w:r>
      <w:r w:rsidR="00F269D5" w:rsidRPr="00642002">
        <w:rPr>
          <w:rFonts w:cs="Times New Roman"/>
          <w:szCs w:val="18"/>
        </w:rPr>
        <w:t xml:space="preserve"> </w:t>
      </w:r>
      <w:r w:rsidR="00F269D5" w:rsidRPr="00642002">
        <w:rPr>
          <w:rFonts w:cs="Times New Roman"/>
          <w:i/>
          <w:iCs/>
          <w:szCs w:val="18"/>
        </w:rPr>
        <w:t xml:space="preserve">Historical distortion: How misuse of </w:t>
      </w:r>
      <w:r w:rsidR="000B1906">
        <w:rPr>
          <w:rFonts w:cs="Times New Roman"/>
          <w:i/>
          <w:iCs/>
          <w:szCs w:val="18"/>
        </w:rPr>
        <w:t>“</w:t>
      </w:r>
      <w:r w:rsidR="00F269D5" w:rsidRPr="00642002">
        <w:rPr>
          <w:rFonts w:cs="Times New Roman"/>
          <w:i/>
          <w:iCs/>
          <w:szCs w:val="18"/>
        </w:rPr>
        <w:t xml:space="preserve">public utility and </w:t>
      </w:r>
      <w:r w:rsidR="000B1906">
        <w:rPr>
          <w:rFonts w:cs="Times New Roman"/>
          <w:i/>
          <w:iCs/>
          <w:szCs w:val="18"/>
        </w:rPr>
        <w:t>“</w:t>
      </w:r>
      <w:r w:rsidR="00F269D5" w:rsidRPr="00642002">
        <w:rPr>
          <w:rFonts w:cs="Times New Roman"/>
          <w:i/>
          <w:iCs/>
          <w:szCs w:val="18"/>
        </w:rPr>
        <w:t>natural monopoly</w:t>
      </w:r>
      <w:r w:rsidR="000B1906">
        <w:rPr>
          <w:rFonts w:cs="Times New Roman"/>
          <w:i/>
          <w:iCs/>
          <w:szCs w:val="18"/>
        </w:rPr>
        <w:t>”</w:t>
      </w:r>
      <w:r w:rsidR="00F269D5" w:rsidRPr="00642002">
        <w:rPr>
          <w:rFonts w:cs="Times New Roman"/>
          <w:i/>
          <w:iCs/>
          <w:szCs w:val="18"/>
        </w:rPr>
        <w:t xml:space="preserve"> misdirects U.S. telecommunications policy development</w:t>
      </w:r>
      <w:r w:rsidR="00F269D5" w:rsidRPr="00642002">
        <w:rPr>
          <w:rFonts w:cs="Times New Roman"/>
          <w:szCs w:val="18"/>
        </w:rPr>
        <w:t>, 2015 Regional Conference of the International Telecommunications Society (ITS)</w:t>
      </w:r>
      <w:r w:rsidR="00392C66" w:rsidRPr="00642002">
        <w:rPr>
          <w:rFonts w:cs="Times New Roman"/>
          <w:szCs w:val="18"/>
        </w:rPr>
        <w:t xml:space="preserve"> (</w:t>
      </w:r>
      <w:r w:rsidR="00DD757F" w:rsidRPr="00642002">
        <w:rPr>
          <w:rFonts w:cs="Times New Roman"/>
          <w:szCs w:val="18"/>
        </w:rPr>
        <w:t>Oct. 25-28</w:t>
      </w:r>
      <w:r w:rsidR="001F2C1F" w:rsidRPr="00642002">
        <w:rPr>
          <w:rFonts w:cs="Times New Roman"/>
          <w:szCs w:val="18"/>
        </w:rPr>
        <w:t>,</w:t>
      </w:r>
      <w:r w:rsidR="00DD757F" w:rsidRPr="00642002">
        <w:rPr>
          <w:rFonts w:cs="Times New Roman"/>
          <w:szCs w:val="18"/>
        </w:rPr>
        <w:t xml:space="preserve"> </w:t>
      </w:r>
      <w:r w:rsidR="00392C66" w:rsidRPr="00642002">
        <w:rPr>
          <w:rFonts w:cs="Times New Roman"/>
          <w:szCs w:val="18"/>
        </w:rPr>
        <w:t xml:space="preserve">2015) </w:t>
      </w:r>
      <w:r w:rsidR="00687C33" w:rsidRPr="00642002">
        <w:rPr>
          <w:rFonts w:cs="Times New Roman"/>
          <w:szCs w:val="18"/>
        </w:rPr>
        <w:t>(</w:t>
      </w:r>
      <w:r w:rsidR="000B1906">
        <w:rPr>
          <w:rFonts w:cs="Times New Roman"/>
          <w:szCs w:val="18"/>
        </w:rPr>
        <w:t>“</w:t>
      </w:r>
      <w:r w:rsidR="00687C33" w:rsidRPr="00642002">
        <w:rPr>
          <w:rFonts w:cs="Times New Roman"/>
          <w:szCs w:val="18"/>
        </w:rPr>
        <w:t>In the FCC</w:t>
      </w:r>
      <w:r w:rsidR="000B1906">
        <w:rPr>
          <w:rFonts w:cs="Times New Roman"/>
          <w:szCs w:val="18"/>
        </w:rPr>
        <w:t>’</w:t>
      </w:r>
      <w:r w:rsidR="00687C33" w:rsidRPr="00642002">
        <w:rPr>
          <w:rFonts w:cs="Times New Roman"/>
          <w:szCs w:val="18"/>
        </w:rPr>
        <w:t>s open Internet proceeding, I filed a research paper coauthored with Jon Peha (Cherry &amp; Peha, 2014), which was written to redirect inquiry to the proper legal basis for classifying a service – simply the coexistence of certain technical and commercial functionalities of the service – as a common carriage (</w:t>
      </w:r>
      <w:r w:rsidR="000B1906">
        <w:rPr>
          <w:rFonts w:cs="Times New Roman"/>
          <w:szCs w:val="18"/>
        </w:rPr>
        <w:t>‘</w:t>
      </w:r>
      <w:r w:rsidR="00687C33" w:rsidRPr="00642002">
        <w:rPr>
          <w:rFonts w:cs="Times New Roman"/>
          <w:szCs w:val="18"/>
        </w:rPr>
        <w:t>telecommunications service</w:t>
      </w:r>
      <w:r w:rsidR="000B1906">
        <w:rPr>
          <w:rFonts w:cs="Times New Roman"/>
          <w:szCs w:val="18"/>
        </w:rPr>
        <w:t>’</w:t>
      </w:r>
      <w:r w:rsidR="00687C33" w:rsidRPr="00642002">
        <w:rPr>
          <w:rFonts w:cs="Times New Roman"/>
          <w:szCs w:val="18"/>
        </w:rPr>
        <w:t>) under Title II of the federal Communications Act. This redirection was necessary to refute the mischaracterization, whether intentional or unintentional, that such classification is based on assessment of market structure, market power or monopoly. This research paper (Cherry &amp; Peha, 2014) relied in significant part on my prior research that explains how conflation between the two legal statuses of common carrier and public utility has contributed to such mischaracterization (Cherry, 1999, 2006, 2008b)</w:t>
      </w:r>
      <w:r w:rsidR="003F7942" w:rsidRPr="00642002">
        <w:rPr>
          <w:rFonts w:cs="Times New Roman"/>
          <w:szCs w:val="18"/>
        </w:rPr>
        <w:t>.</w:t>
      </w:r>
      <w:r w:rsidR="000B1906">
        <w:rPr>
          <w:rFonts w:cs="Times New Roman"/>
          <w:szCs w:val="18"/>
        </w:rPr>
        <w:t>”</w:t>
      </w:r>
      <w:r w:rsidR="00687C33" w:rsidRPr="00642002">
        <w:rPr>
          <w:rFonts w:cs="Times New Roman"/>
          <w:szCs w:val="18"/>
        </w:rPr>
        <w:t>). Further, the Communications Act</w:t>
      </w:r>
      <w:r w:rsidR="00F02622" w:rsidRPr="00642002">
        <w:rPr>
          <w:rFonts w:cs="Times New Roman"/>
          <w:szCs w:val="18"/>
        </w:rPr>
        <w:t>,</w:t>
      </w:r>
      <w:r w:rsidR="00687C33" w:rsidRPr="00642002">
        <w:rPr>
          <w:rFonts w:cs="Times New Roman"/>
          <w:szCs w:val="18"/>
        </w:rPr>
        <w:t xml:space="preserve"> through its use of the term </w:t>
      </w:r>
      <w:r w:rsidR="000B1906">
        <w:rPr>
          <w:rFonts w:cs="Times New Roman"/>
          <w:szCs w:val="18"/>
        </w:rPr>
        <w:t>“</w:t>
      </w:r>
      <w:r w:rsidR="00687C33" w:rsidRPr="00642002">
        <w:rPr>
          <w:rFonts w:cs="Times New Roman"/>
          <w:szCs w:val="18"/>
        </w:rPr>
        <w:t>common carrier</w:t>
      </w:r>
      <w:r w:rsidR="00F02622" w:rsidRPr="00642002">
        <w:rPr>
          <w:rFonts w:cs="Times New Roman"/>
          <w:szCs w:val="18"/>
        </w:rPr>
        <w:t>,</w:t>
      </w:r>
      <w:r w:rsidR="000B1906">
        <w:rPr>
          <w:rFonts w:cs="Times New Roman"/>
          <w:szCs w:val="18"/>
        </w:rPr>
        <w:t>”</w:t>
      </w:r>
      <w:r w:rsidR="00687C33" w:rsidRPr="00642002">
        <w:rPr>
          <w:rFonts w:cs="Times New Roman"/>
          <w:szCs w:val="18"/>
        </w:rPr>
        <w:t xml:space="preserve"> incorporates historical understandings of common carrier law.</w:t>
      </w:r>
      <w:r w:rsidRPr="00642002">
        <w:rPr>
          <w:rFonts w:cs="Times New Roman"/>
          <w:szCs w:val="18"/>
        </w:rPr>
        <w:t xml:space="preserve"> </w:t>
      </w:r>
      <w:r w:rsidR="00634770" w:rsidRPr="00642002">
        <w:rPr>
          <w:rFonts w:cs="Times New Roman"/>
          <w:i/>
          <w:iCs/>
          <w:szCs w:val="18"/>
        </w:rPr>
        <w:t xml:space="preserve">See </w:t>
      </w:r>
      <w:r w:rsidR="00687C33" w:rsidRPr="00642002">
        <w:rPr>
          <w:rStyle w:val="Emphasis"/>
          <w:rFonts w:cs="Times New Roman"/>
          <w:i w:val="0"/>
          <w:iCs w:val="0"/>
          <w:szCs w:val="18"/>
          <w:shd w:val="clear" w:color="auto" w:fill="FFFFFF"/>
        </w:rPr>
        <w:t>NARUC</w:t>
      </w:r>
      <w:r w:rsidR="00687C33" w:rsidRPr="00642002">
        <w:rPr>
          <w:rFonts w:cs="Times New Roman"/>
          <w:i/>
          <w:szCs w:val="18"/>
          <w:shd w:val="clear" w:color="auto" w:fill="FFFFFF"/>
        </w:rPr>
        <w:t> </w:t>
      </w:r>
      <w:r w:rsidR="00687C33" w:rsidRPr="00642002">
        <w:rPr>
          <w:rFonts w:cs="Times New Roman"/>
          <w:iCs/>
          <w:szCs w:val="18"/>
          <w:shd w:val="clear" w:color="auto" w:fill="FFFFFF"/>
        </w:rPr>
        <w:t>v. FCC</w:t>
      </w:r>
      <w:r w:rsidR="00687C33" w:rsidRPr="00642002">
        <w:rPr>
          <w:rFonts w:cs="Times New Roman"/>
          <w:szCs w:val="18"/>
          <w:shd w:val="clear" w:color="auto" w:fill="FFFFFF"/>
        </w:rPr>
        <w:t>, 525 F.2d 630, 640 (1976).</w:t>
      </w:r>
    </w:p>
  </w:footnote>
  <w:footnote w:id="14">
    <w:p w14:paraId="419D7701" w14:textId="04E8C4FC" w:rsidR="00735E5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735E5B" w:rsidRPr="00642002">
        <w:rPr>
          <w:rFonts w:cs="Times New Roman"/>
          <w:szCs w:val="18"/>
        </w:rPr>
        <w:t xml:space="preserve">Part I of Title II of the Communications Act (title </w:t>
      </w:r>
      <w:r w:rsidR="000B1906">
        <w:rPr>
          <w:rFonts w:cs="Times New Roman"/>
          <w:szCs w:val="18"/>
        </w:rPr>
        <w:t>“</w:t>
      </w:r>
      <w:r w:rsidR="00735E5B" w:rsidRPr="00642002">
        <w:rPr>
          <w:rFonts w:cs="Times New Roman"/>
          <w:szCs w:val="18"/>
        </w:rPr>
        <w:t>Common Carrier Regulation</w:t>
      </w:r>
      <w:r w:rsidR="000B1906">
        <w:rPr>
          <w:rFonts w:cs="Times New Roman"/>
          <w:szCs w:val="18"/>
        </w:rPr>
        <w:t>”</w:t>
      </w:r>
      <w:r w:rsidR="00735E5B" w:rsidRPr="00642002">
        <w:rPr>
          <w:rFonts w:cs="Times New Roman"/>
          <w:szCs w:val="18"/>
        </w:rPr>
        <w:t xml:space="preserve">) explicitly regulates common carrriers. </w:t>
      </w:r>
      <w:r w:rsidR="00735E5B" w:rsidRPr="00642002">
        <w:rPr>
          <w:rFonts w:cs="Times New Roman"/>
          <w:i/>
          <w:iCs/>
          <w:szCs w:val="18"/>
        </w:rPr>
        <w:t xml:space="preserve">See </w:t>
      </w:r>
      <w:r w:rsidR="00735E5B" w:rsidRPr="00642002">
        <w:rPr>
          <w:rFonts w:cs="Times New Roman"/>
          <w:szCs w:val="18"/>
        </w:rPr>
        <w:t xml:space="preserve">47 U.S.C. </w:t>
      </w:r>
      <w:r w:rsidR="00F02622" w:rsidRPr="00642002">
        <w:rPr>
          <w:rFonts w:cs="Times New Roman"/>
          <w:szCs w:val="18"/>
        </w:rPr>
        <w:t>§</w:t>
      </w:r>
      <w:r w:rsidR="00735E5B" w:rsidRPr="00642002">
        <w:rPr>
          <w:rFonts w:cs="Times New Roman"/>
          <w:szCs w:val="18"/>
        </w:rPr>
        <w:t>§ 201</w:t>
      </w:r>
      <w:r w:rsidR="00F02622" w:rsidRPr="00642002">
        <w:rPr>
          <w:rFonts w:cs="Times New Roman"/>
          <w:szCs w:val="18"/>
        </w:rPr>
        <w:t>-</w:t>
      </w:r>
      <w:r w:rsidR="00735E5B" w:rsidRPr="00642002">
        <w:rPr>
          <w:rFonts w:cs="Times New Roman"/>
          <w:szCs w:val="18"/>
        </w:rPr>
        <w:t>03.</w:t>
      </w:r>
      <w:r w:rsidRPr="00642002">
        <w:rPr>
          <w:rFonts w:cs="Times New Roman"/>
          <w:szCs w:val="18"/>
        </w:rPr>
        <w:t xml:space="preserve"> </w:t>
      </w:r>
      <w:r w:rsidR="00735E5B" w:rsidRPr="00642002">
        <w:rPr>
          <w:rFonts w:cs="Times New Roman"/>
          <w:szCs w:val="18"/>
        </w:rPr>
        <w:t xml:space="preserve">Section 201 regulates </w:t>
      </w:r>
      <w:r w:rsidR="000B1906">
        <w:rPr>
          <w:rFonts w:cs="Times New Roman"/>
          <w:szCs w:val="18"/>
        </w:rPr>
        <w:t>“</w:t>
      </w:r>
      <w:r w:rsidR="00735E5B" w:rsidRPr="00642002">
        <w:rPr>
          <w:rFonts w:cs="Times New Roman"/>
          <w:szCs w:val="18"/>
        </w:rPr>
        <w:t>common carriers.</w:t>
      </w:r>
      <w:r w:rsidR="000B1906">
        <w:rPr>
          <w:rFonts w:cs="Times New Roman"/>
          <w:szCs w:val="18"/>
        </w:rPr>
        <w:t>”</w:t>
      </w:r>
      <w:r w:rsidR="00735E5B" w:rsidRPr="00642002">
        <w:rPr>
          <w:rFonts w:cs="Times New Roman"/>
          <w:szCs w:val="18"/>
        </w:rPr>
        <w:t xml:space="preserve"> </w:t>
      </w:r>
    </w:p>
  </w:footnote>
  <w:footnote w:id="15">
    <w:p w14:paraId="18DE763C" w14:textId="23E357C5" w:rsidR="00735E5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735E5B" w:rsidRPr="00642002">
        <w:rPr>
          <w:rFonts w:cs="Times New Roman"/>
          <w:szCs w:val="18"/>
          <w:bdr w:val="none" w:sz="0" w:space="0" w:color="auto" w:frame="1"/>
        </w:rPr>
        <w:t>Nat</w:t>
      </w:r>
      <w:r w:rsidR="000B1906">
        <w:rPr>
          <w:rFonts w:cs="Times New Roman"/>
          <w:szCs w:val="18"/>
          <w:bdr w:val="none" w:sz="0" w:space="0" w:color="auto" w:frame="1"/>
        </w:rPr>
        <w:t>’</w:t>
      </w:r>
      <w:r w:rsidR="00735E5B" w:rsidRPr="00642002">
        <w:rPr>
          <w:rFonts w:cs="Times New Roman"/>
          <w:szCs w:val="18"/>
          <w:bdr w:val="none" w:sz="0" w:space="0" w:color="auto" w:frame="1"/>
        </w:rPr>
        <w:t>l Ass</w:t>
      </w:r>
      <w:r w:rsidR="000B1906">
        <w:rPr>
          <w:rFonts w:cs="Times New Roman"/>
          <w:szCs w:val="18"/>
          <w:bdr w:val="none" w:sz="0" w:space="0" w:color="auto" w:frame="1"/>
        </w:rPr>
        <w:t>’</w:t>
      </w:r>
      <w:r w:rsidR="00735E5B" w:rsidRPr="00642002">
        <w:rPr>
          <w:rFonts w:cs="Times New Roman"/>
          <w:szCs w:val="18"/>
          <w:bdr w:val="none" w:sz="0" w:space="0" w:color="auto" w:frame="1"/>
        </w:rPr>
        <w:t>n of Regul. Util. Comm</w:t>
      </w:r>
      <w:r w:rsidR="000B1906">
        <w:rPr>
          <w:rFonts w:cs="Times New Roman"/>
          <w:szCs w:val="18"/>
          <w:bdr w:val="none" w:sz="0" w:space="0" w:color="auto" w:frame="1"/>
        </w:rPr>
        <w:t>’</w:t>
      </w:r>
      <w:r w:rsidR="00735E5B" w:rsidRPr="00642002">
        <w:rPr>
          <w:rFonts w:cs="Times New Roman"/>
          <w:szCs w:val="18"/>
          <w:bdr w:val="none" w:sz="0" w:space="0" w:color="auto" w:frame="1"/>
        </w:rPr>
        <w:t>rs v. FCC</w:t>
      </w:r>
      <w:r w:rsidR="00735E5B" w:rsidRPr="00642002">
        <w:rPr>
          <w:rFonts w:cs="Times New Roman"/>
          <w:szCs w:val="18"/>
        </w:rPr>
        <w:t>, 533 F.2d 601, 608 (D.C. Cir. 1976) (</w:t>
      </w:r>
      <w:r w:rsidR="002A2641" w:rsidRPr="00642002">
        <w:rPr>
          <w:rFonts w:cs="Times New Roman"/>
          <w:szCs w:val="18"/>
        </w:rPr>
        <w:t>C</w:t>
      </w:r>
      <w:r w:rsidR="00735E5B" w:rsidRPr="00642002">
        <w:rPr>
          <w:rFonts w:cs="Times New Roman"/>
          <w:szCs w:val="18"/>
        </w:rPr>
        <w:t xml:space="preserve">ourts </w:t>
      </w:r>
      <w:r w:rsidR="000B1906">
        <w:rPr>
          <w:rFonts w:cs="Times New Roman"/>
          <w:szCs w:val="18"/>
        </w:rPr>
        <w:t>“</w:t>
      </w:r>
      <w:r w:rsidR="00735E5B" w:rsidRPr="00642002">
        <w:rPr>
          <w:rFonts w:cs="Times New Roman"/>
          <w:szCs w:val="18"/>
        </w:rPr>
        <w:t xml:space="preserve">have concluded that the circularity and uncertainty of the </w:t>
      </w:r>
      <w:r w:rsidR="00735E5B" w:rsidRPr="00642002">
        <w:rPr>
          <w:rStyle w:val="coconcept1419"/>
          <w:rFonts w:cs="Times New Roman"/>
          <w:szCs w:val="18"/>
          <w:bdr w:val="none" w:sz="0" w:space="0" w:color="auto" w:frame="1"/>
          <w:shd w:val="clear" w:color="auto" w:fill="FFFFFF"/>
        </w:rPr>
        <w:t>common</w:t>
      </w:r>
      <w:r w:rsidR="00735E5B" w:rsidRPr="00642002">
        <w:rPr>
          <w:rFonts w:cs="Times New Roman"/>
          <w:szCs w:val="18"/>
        </w:rPr>
        <w:t xml:space="preserve"> </w:t>
      </w:r>
      <w:r w:rsidR="00735E5B" w:rsidRPr="00642002">
        <w:rPr>
          <w:rStyle w:val="coconcept2127"/>
          <w:rFonts w:cs="Times New Roman"/>
          <w:szCs w:val="18"/>
          <w:bdr w:val="none" w:sz="0" w:space="0" w:color="auto" w:frame="1"/>
          <w:shd w:val="clear" w:color="auto" w:fill="FFFFFF"/>
        </w:rPr>
        <w:t>carrier</w:t>
      </w:r>
      <w:r w:rsidR="00735E5B" w:rsidRPr="00642002">
        <w:rPr>
          <w:rFonts w:cs="Times New Roman"/>
          <w:szCs w:val="18"/>
        </w:rPr>
        <w:t xml:space="preserve"> definitions set forth in the statute and regulations invite recourse to the common law of carriers.</w:t>
      </w:r>
      <w:r w:rsidR="000B1906">
        <w:rPr>
          <w:rFonts w:cs="Times New Roman"/>
          <w:szCs w:val="18"/>
        </w:rPr>
        <w:t>”</w:t>
      </w:r>
      <w:r w:rsidR="00735E5B" w:rsidRPr="00642002">
        <w:rPr>
          <w:rFonts w:cs="Times New Roman"/>
          <w:szCs w:val="18"/>
        </w:rPr>
        <w:t>).</w:t>
      </w:r>
    </w:p>
  </w:footnote>
  <w:footnote w:id="16">
    <w:p w14:paraId="5E19A914" w14:textId="0D4DA524" w:rsidR="00EF67E7" w:rsidRPr="00642002" w:rsidRDefault="00C96280" w:rsidP="001179A4">
      <w:pPr>
        <w:pStyle w:val="FootnoteText"/>
        <w:jc w:val="both"/>
        <w:rPr>
          <w:rFonts w:cs="Times New Roman"/>
          <w:i/>
          <w:iCs/>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EF67E7" w:rsidRPr="00642002">
        <w:rPr>
          <w:rFonts w:cs="Times New Roman"/>
          <w:i/>
          <w:iCs/>
          <w:szCs w:val="18"/>
        </w:rPr>
        <w:t>See, e.g.</w:t>
      </w:r>
      <w:r w:rsidR="00EF67E7" w:rsidRPr="0009441A">
        <w:rPr>
          <w:rFonts w:cs="Times New Roman"/>
          <w:szCs w:val="18"/>
        </w:rPr>
        <w:t xml:space="preserve">, </w:t>
      </w:r>
      <w:r w:rsidR="00197A14">
        <w:rPr>
          <w:rFonts w:cs="Times New Roman"/>
          <w:szCs w:val="18"/>
        </w:rPr>
        <w:t xml:space="preserve">D.A. Candeub, </w:t>
      </w:r>
      <w:r w:rsidR="00197A14" w:rsidRPr="00197A14">
        <w:rPr>
          <w:rFonts w:cs="Times New Roman"/>
          <w:i/>
          <w:iCs/>
          <w:szCs w:val="18"/>
        </w:rPr>
        <w:t xml:space="preserve">Preference and Administrative Law, </w:t>
      </w:r>
      <w:r w:rsidR="00197A14" w:rsidRPr="0009441A">
        <w:rPr>
          <w:rFonts w:cs="Times New Roman"/>
          <w:szCs w:val="18"/>
        </w:rPr>
        <w:t xml:space="preserve">72 </w:t>
      </w:r>
      <w:r w:rsidR="00197A14" w:rsidRPr="0009441A">
        <w:rPr>
          <w:rFonts w:cs="Times New Roman"/>
          <w:smallCaps/>
          <w:szCs w:val="18"/>
        </w:rPr>
        <w:t>Admin. L. Rev</w:t>
      </w:r>
      <w:r w:rsidR="00197A14" w:rsidRPr="0009441A">
        <w:rPr>
          <w:rFonts w:cs="Times New Roman"/>
          <w:szCs w:val="18"/>
        </w:rPr>
        <w:t>. 607 (2021)</w:t>
      </w:r>
      <w:r w:rsidR="00197A14">
        <w:rPr>
          <w:rFonts w:cs="Times New Roman"/>
          <w:i/>
          <w:iCs/>
          <w:szCs w:val="18"/>
        </w:rPr>
        <w:t>;</w:t>
      </w:r>
      <w:r w:rsidR="00197A14" w:rsidRPr="00197A14">
        <w:rPr>
          <w:rFonts w:cs="Times New Roman"/>
          <w:i/>
          <w:iCs/>
          <w:szCs w:val="18"/>
        </w:rPr>
        <w:t xml:space="preserve"> </w:t>
      </w:r>
      <w:r w:rsidR="00EF67E7" w:rsidRPr="00642002">
        <w:rPr>
          <w:rFonts w:cs="Times New Roman"/>
          <w:szCs w:val="18"/>
        </w:rPr>
        <w:t>D.A. Candeub,</w:t>
      </w:r>
      <w:r w:rsidR="00EF67E7" w:rsidRPr="00642002">
        <w:rPr>
          <w:rFonts w:cs="Times New Roman"/>
          <w:i/>
          <w:iCs/>
          <w:szCs w:val="18"/>
        </w:rPr>
        <w:t xml:space="preserve"> Tyranny and Administrative Law</w:t>
      </w:r>
      <w:r w:rsidR="00EF67E7" w:rsidRPr="00642002">
        <w:rPr>
          <w:rFonts w:cs="Times New Roman"/>
          <w:szCs w:val="18"/>
        </w:rPr>
        <w:t>,</w:t>
      </w:r>
      <w:r w:rsidR="00EF67E7" w:rsidRPr="00642002">
        <w:rPr>
          <w:rFonts w:cs="Times New Roman"/>
          <w:i/>
          <w:iCs/>
          <w:szCs w:val="18"/>
        </w:rPr>
        <w:t xml:space="preserve"> </w:t>
      </w:r>
      <w:r w:rsidR="00EF67E7" w:rsidRPr="00642002">
        <w:rPr>
          <w:rFonts w:cs="Times New Roman"/>
          <w:szCs w:val="18"/>
        </w:rPr>
        <w:t xml:space="preserve">59 </w:t>
      </w:r>
      <w:r w:rsidR="00EF67E7" w:rsidRPr="00642002">
        <w:rPr>
          <w:rFonts w:cs="Times New Roman"/>
          <w:smallCaps/>
          <w:szCs w:val="18"/>
        </w:rPr>
        <w:t>Ariz. L. Rev.</w:t>
      </w:r>
      <w:r w:rsidR="00EF67E7" w:rsidRPr="00642002">
        <w:rPr>
          <w:rFonts w:cs="Times New Roman"/>
          <w:szCs w:val="18"/>
        </w:rPr>
        <w:t xml:space="preserve"> 49, 52 (2017).</w:t>
      </w:r>
    </w:p>
  </w:footnote>
  <w:footnote w:id="17">
    <w:p w14:paraId="7BEFED15" w14:textId="0EA8BD75" w:rsidR="006C05F4"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6C05F4" w:rsidRPr="00642002">
        <w:rPr>
          <w:rFonts w:cs="Times New Roman"/>
          <w:i/>
          <w:iCs/>
          <w:szCs w:val="18"/>
          <w:bdr w:val="none" w:sz="0" w:space="0" w:color="auto" w:frame="1"/>
        </w:rPr>
        <w:t>Bargaining for Free Speech</w:t>
      </w:r>
      <w:r w:rsidR="00112355" w:rsidRPr="00642002">
        <w:rPr>
          <w:rFonts w:cs="Times New Roman"/>
          <w:szCs w:val="18"/>
          <w:bdr w:val="none" w:sz="0" w:space="0" w:color="auto" w:frame="1"/>
        </w:rPr>
        <w:t>,</w:t>
      </w:r>
      <w:r w:rsidR="00112355" w:rsidRPr="00642002">
        <w:rPr>
          <w:rFonts w:cs="Times New Roman"/>
          <w:i/>
          <w:iCs/>
          <w:szCs w:val="18"/>
          <w:bdr w:val="none" w:sz="0" w:space="0" w:color="auto" w:frame="1"/>
        </w:rPr>
        <w:t xml:space="preserve"> supra </w:t>
      </w:r>
      <w:r w:rsidR="00112355" w:rsidRPr="00642002">
        <w:rPr>
          <w:rFonts w:cs="Times New Roman"/>
          <w:szCs w:val="18"/>
          <w:bdr w:val="none" w:sz="0" w:space="0" w:color="auto" w:frame="1"/>
        </w:rPr>
        <w:t xml:space="preserve">note 2, at </w:t>
      </w:r>
      <w:r w:rsidR="006C05F4" w:rsidRPr="00642002">
        <w:rPr>
          <w:rFonts w:cs="Times New Roman"/>
          <w:szCs w:val="18"/>
        </w:rPr>
        <w:t>433</w:t>
      </w:r>
      <w:r w:rsidR="00112355" w:rsidRPr="00642002">
        <w:rPr>
          <w:rFonts w:cs="Times New Roman"/>
          <w:szCs w:val="18"/>
        </w:rPr>
        <w:t>.</w:t>
      </w:r>
    </w:p>
  </w:footnote>
  <w:footnote w:id="18">
    <w:p w14:paraId="37D1F896" w14:textId="6B43950C" w:rsidR="009106C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0B1906">
        <w:rPr>
          <w:rFonts w:cs="Times New Roman"/>
          <w:szCs w:val="18"/>
        </w:rPr>
        <w:t>“</w:t>
      </w:r>
      <w:r w:rsidR="0072117C" w:rsidRPr="00642002">
        <w:rPr>
          <w:rFonts w:cs="Times New Roman"/>
          <w:szCs w:val="18"/>
        </w:rPr>
        <w:t>A railroad may decline to carry persons . . . and refuse such as persist in not complying with its reasonable regulations, or whose improper behavior -- as by their drunkenness, obscene language, or vulgar conduct -- renders them an annoyance to other passengers. But it cannot make unreasonable discriminations between persons soliciting its means of conveyance, as by refusing them on account of personal dislike, their occupation, condition in life, complexion, race, nativity, political or ecclesiastical relations.</w:t>
      </w:r>
      <w:r w:rsidR="000B1906">
        <w:rPr>
          <w:rFonts w:cs="Times New Roman"/>
          <w:szCs w:val="18"/>
        </w:rPr>
        <w:t>”</w:t>
      </w:r>
      <w:r w:rsidR="0072117C" w:rsidRPr="00642002">
        <w:rPr>
          <w:rFonts w:cs="Times New Roman"/>
          <w:szCs w:val="18"/>
          <w:shd w:val="clear" w:color="auto" w:fill="FFFFFF"/>
        </w:rPr>
        <w:t xml:space="preserve"> </w:t>
      </w:r>
      <w:r w:rsidR="0072117C" w:rsidRPr="00642002">
        <w:rPr>
          <w:rFonts w:cs="Times New Roman"/>
          <w:smallCaps/>
          <w:szCs w:val="18"/>
          <w:shd w:val="clear" w:color="auto" w:fill="FFFFFF"/>
        </w:rPr>
        <w:t>Edward Lillie Pierce, A Treatise on American Railroad Law</w:t>
      </w:r>
      <w:r w:rsidR="0072117C" w:rsidRPr="00642002">
        <w:rPr>
          <w:rFonts w:cs="Times New Roman"/>
          <w:szCs w:val="18"/>
          <w:shd w:val="clear" w:color="auto" w:fill="FFFFFF"/>
        </w:rPr>
        <w:t xml:space="preserve"> (1857); </w:t>
      </w:r>
      <w:r w:rsidR="009106C8" w:rsidRPr="00642002">
        <w:rPr>
          <w:rFonts w:cs="Times New Roman"/>
          <w:szCs w:val="18"/>
        </w:rPr>
        <w:t xml:space="preserve">Councill v. W. &amp; Atl. R.R. Co., 1 I.C.C. 339, 347 (1887). </w:t>
      </w:r>
      <w:r w:rsidR="009106C8" w:rsidRPr="00642002">
        <w:rPr>
          <w:rFonts w:cs="Times New Roman"/>
          <w:i/>
          <w:iCs/>
          <w:szCs w:val="18"/>
        </w:rPr>
        <w:t>See also</w:t>
      </w:r>
      <w:r w:rsidR="009106C8" w:rsidRPr="00642002">
        <w:rPr>
          <w:rFonts w:cs="Times New Roman"/>
          <w:szCs w:val="18"/>
        </w:rPr>
        <w:t xml:space="preserve"> Heard v. Ga. R.R. Co., 1 I.C.C. 428, 435</w:t>
      </w:r>
      <w:r w:rsidR="00F02622" w:rsidRPr="00642002">
        <w:rPr>
          <w:rFonts w:cs="Times New Roman"/>
          <w:szCs w:val="18"/>
        </w:rPr>
        <w:t>-</w:t>
      </w:r>
      <w:r w:rsidR="009106C8" w:rsidRPr="00642002">
        <w:rPr>
          <w:rFonts w:cs="Times New Roman"/>
          <w:szCs w:val="18"/>
        </w:rPr>
        <w:t>36 (1888)</w:t>
      </w:r>
      <w:r w:rsidR="00140650" w:rsidRPr="00642002">
        <w:rPr>
          <w:rFonts w:cs="Times New Roman"/>
          <w:szCs w:val="18"/>
        </w:rPr>
        <w:t>; Henderson v. United States, 339 U.S. 816, 818 (1950)</w:t>
      </w:r>
      <w:r w:rsidR="009106C8" w:rsidRPr="00642002">
        <w:rPr>
          <w:rFonts w:cs="Times New Roman"/>
          <w:szCs w:val="18"/>
        </w:rPr>
        <w:t>.</w:t>
      </w:r>
    </w:p>
  </w:footnote>
  <w:footnote w:id="19">
    <w:p w14:paraId="33D24F50" w14:textId="04DBF853" w:rsidR="00140650"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140650" w:rsidRPr="00642002">
        <w:rPr>
          <w:rFonts w:cs="Times New Roman"/>
          <w:szCs w:val="18"/>
        </w:rPr>
        <w:t>Boynton v. Virginia, 364 U.S. 454, 462</w:t>
      </w:r>
      <w:r w:rsidR="000D215A">
        <w:rPr>
          <w:rFonts w:cs="Times New Roman"/>
          <w:szCs w:val="18"/>
        </w:rPr>
        <w:t>-</w:t>
      </w:r>
      <w:r w:rsidR="00140650" w:rsidRPr="00642002">
        <w:rPr>
          <w:rFonts w:cs="Times New Roman"/>
          <w:szCs w:val="18"/>
        </w:rPr>
        <w:t>63 (1960).</w:t>
      </w:r>
    </w:p>
  </w:footnote>
  <w:footnote w:id="20">
    <w:p w14:paraId="6BE3D76D" w14:textId="437D040F" w:rsidR="00C04DC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C04DCB" w:rsidRPr="00642002">
        <w:rPr>
          <w:rFonts w:cs="Times New Roman"/>
          <w:szCs w:val="18"/>
        </w:rPr>
        <w:t>FedEx Corp. v. United States, 121 F. App</w:t>
      </w:r>
      <w:r w:rsidR="000B1906">
        <w:rPr>
          <w:rFonts w:cs="Times New Roman"/>
          <w:szCs w:val="18"/>
        </w:rPr>
        <w:t>’</w:t>
      </w:r>
      <w:r w:rsidR="00C04DCB" w:rsidRPr="00642002">
        <w:rPr>
          <w:rFonts w:cs="Times New Roman"/>
          <w:szCs w:val="18"/>
        </w:rPr>
        <w:t>x 125, 126 (6th Cir. 2005)</w:t>
      </w:r>
      <w:r w:rsidR="005A76FA">
        <w:rPr>
          <w:rFonts w:cs="Times New Roman"/>
          <w:szCs w:val="18"/>
        </w:rPr>
        <w:t xml:space="preserve">; </w:t>
      </w:r>
      <w:r w:rsidR="005A76FA" w:rsidRPr="005A76FA">
        <w:rPr>
          <w:rFonts w:cs="Times New Roman"/>
          <w:szCs w:val="18"/>
        </w:rPr>
        <w:t xml:space="preserve">Eugene Volokh, </w:t>
      </w:r>
      <w:r w:rsidR="005A76FA" w:rsidRPr="0009441A">
        <w:rPr>
          <w:rFonts w:cs="Times New Roman"/>
          <w:i/>
          <w:iCs/>
          <w:szCs w:val="18"/>
        </w:rPr>
        <w:t>Treating Social Media Platforms Like Common Carriers?</w:t>
      </w:r>
      <w:r w:rsidR="005A76FA" w:rsidRPr="005A76FA">
        <w:rPr>
          <w:rFonts w:cs="Times New Roman"/>
          <w:szCs w:val="18"/>
        </w:rPr>
        <w:t xml:space="preserve">, 1 </w:t>
      </w:r>
      <w:r w:rsidR="005A76FA" w:rsidRPr="0009441A">
        <w:rPr>
          <w:rFonts w:cs="Times New Roman"/>
          <w:smallCaps/>
          <w:szCs w:val="18"/>
        </w:rPr>
        <w:t>J. Free Speech L.</w:t>
      </w:r>
      <w:r w:rsidR="005A76FA" w:rsidRPr="005A76FA">
        <w:rPr>
          <w:rFonts w:cs="Times New Roman"/>
          <w:szCs w:val="18"/>
        </w:rPr>
        <w:t xml:space="preserve"> 377, 379 (2021) (</w:t>
      </w:r>
      <w:r w:rsidR="000B1906">
        <w:rPr>
          <w:rFonts w:cs="Times New Roman"/>
          <w:szCs w:val="18"/>
        </w:rPr>
        <w:t>“</w:t>
      </w:r>
      <w:r w:rsidR="005A76FA" w:rsidRPr="005A76FA">
        <w:rPr>
          <w:rFonts w:cs="Times New Roman"/>
          <w:szCs w:val="18"/>
        </w:rPr>
        <w:t>And though UPS and FedEx aren</w:t>
      </w:r>
      <w:r w:rsidR="000B1906">
        <w:rPr>
          <w:rFonts w:cs="Times New Roman"/>
          <w:szCs w:val="18"/>
        </w:rPr>
        <w:t>’</w:t>
      </w:r>
      <w:r w:rsidR="005A76FA" w:rsidRPr="005A76FA">
        <w:rPr>
          <w:rFonts w:cs="Times New Roman"/>
          <w:szCs w:val="18"/>
        </w:rPr>
        <w:t>t bound by the First Amendment, they are common carriers and thus can</w:t>
      </w:r>
      <w:r w:rsidR="000B1906">
        <w:rPr>
          <w:rFonts w:cs="Times New Roman"/>
          <w:szCs w:val="18"/>
        </w:rPr>
        <w:t>’</w:t>
      </w:r>
      <w:r w:rsidR="005A76FA" w:rsidRPr="005A76FA">
        <w:rPr>
          <w:rFonts w:cs="Times New Roman"/>
          <w:szCs w:val="18"/>
        </w:rPr>
        <w:t xml:space="preserve">t refuse to ship books sent by </w:t>
      </w:r>
      <w:r w:rsidR="000B1906">
        <w:rPr>
          <w:rFonts w:cs="Times New Roman"/>
          <w:szCs w:val="18"/>
        </w:rPr>
        <w:t>“</w:t>
      </w:r>
      <w:r w:rsidR="005A76FA" w:rsidRPr="005A76FA">
        <w:rPr>
          <w:rFonts w:cs="Times New Roman"/>
          <w:szCs w:val="18"/>
        </w:rPr>
        <w:t>extremist</w:t>
      </w:r>
      <w:r w:rsidR="000B1906">
        <w:rPr>
          <w:rFonts w:cs="Times New Roman"/>
          <w:szCs w:val="18"/>
        </w:rPr>
        <w:t>”</w:t>
      </w:r>
      <w:r w:rsidR="005A76FA" w:rsidRPr="005A76FA">
        <w:rPr>
          <w:rFonts w:cs="Times New Roman"/>
          <w:szCs w:val="18"/>
        </w:rPr>
        <w:t xml:space="preserve"> publishers.</w:t>
      </w:r>
      <w:r w:rsidR="000B1906">
        <w:rPr>
          <w:rFonts w:cs="Times New Roman"/>
          <w:szCs w:val="18"/>
        </w:rPr>
        <w:t>”</w:t>
      </w:r>
      <w:r w:rsidR="005A76FA" w:rsidRPr="005A76FA">
        <w:rPr>
          <w:rFonts w:cs="Times New Roman"/>
          <w:szCs w:val="18"/>
        </w:rPr>
        <w:t>).</w:t>
      </w:r>
    </w:p>
  </w:footnote>
  <w:footnote w:id="21">
    <w:p w14:paraId="664E8F45" w14:textId="41D3FED8" w:rsidR="00140650"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3038BB31" w:rsidRPr="00642002">
        <w:rPr>
          <w:rFonts w:cs="Times New Roman"/>
          <w:szCs w:val="18"/>
          <w:bdr w:val="none" w:sz="0" w:space="0" w:color="auto" w:frame="1"/>
        </w:rPr>
        <w:t>Primrose v. W. Union Tel. Co.</w:t>
      </w:r>
      <w:r w:rsidR="3038BB31" w:rsidRPr="00642002">
        <w:rPr>
          <w:rFonts w:cs="Times New Roman"/>
          <w:szCs w:val="18"/>
        </w:rPr>
        <w:t>, 154 U.S. 1, 14, (1894) (</w:t>
      </w:r>
      <w:r w:rsidR="000B1906">
        <w:rPr>
          <w:rFonts w:cs="Times New Roman"/>
          <w:szCs w:val="18"/>
        </w:rPr>
        <w:t>“</w:t>
      </w:r>
      <w:r w:rsidR="3038BB31" w:rsidRPr="00642002">
        <w:rPr>
          <w:rFonts w:cs="Times New Roman"/>
          <w:szCs w:val="18"/>
        </w:rPr>
        <w:t>Telegraph companies resemble railroad companies and other common carriers, in that they are instruments of commerce, and in that they exercise a public employment, and are therefore bound to serve all customers alike, without discrimination.</w:t>
      </w:r>
      <w:r w:rsidR="000B1906">
        <w:rPr>
          <w:rFonts w:cs="Times New Roman"/>
          <w:szCs w:val="18"/>
        </w:rPr>
        <w:t>”</w:t>
      </w:r>
      <w:r w:rsidR="3038BB31" w:rsidRPr="00642002">
        <w:rPr>
          <w:rFonts w:cs="Times New Roman"/>
          <w:szCs w:val="18"/>
        </w:rPr>
        <w:t>).</w:t>
      </w:r>
    </w:p>
  </w:footnote>
  <w:footnote w:id="22">
    <w:p w14:paraId="6CBA6358" w14:textId="11540D3F" w:rsidR="008C0AC5" w:rsidRPr="00642002" w:rsidRDefault="00C96280" w:rsidP="001179A4">
      <w:pPr>
        <w:pStyle w:val="FootnoteText"/>
        <w:jc w:val="both"/>
        <w:rPr>
          <w:rFonts w:cs="Times New Roman"/>
          <w:i/>
          <w:iCs/>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612BBA" w:rsidRPr="00642002">
        <w:rPr>
          <w:rFonts w:cs="Times New Roman"/>
          <w:i/>
          <w:iCs/>
          <w:szCs w:val="18"/>
          <w:bdr w:val="none" w:sz="0" w:space="0" w:color="auto" w:frame="1"/>
        </w:rPr>
        <w:t>Bargaining for Free Speech</w:t>
      </w:r>
      <w:r w:rsidR="00321483" w:rsidRPr="00642002">
        <w:rPr>
          <w:rFonts w:cs="Times New Roman"/>
          <w:szCs w:val="18"/>
          <w:bdr w:val="none" w:sz="0" w:space="0" w:color="auto" w:frame="1"/>
        </w:rPr>
        <w:t xml:space="preserve">, </w:t>
      </w:r>
      <w:r w:rsidR="00321483" w:rsidRPr="00642002">
        <w:rPr>
          <w:rFonts w:cs="Times New Roman"/>
          <w:i/>
          <w:iCs/>
          <w:szCs w:val="18"/>
          <w:bdr w:val="none" w:sz="0" w:space="0" w:color="auto" w:frame="1"/>
        </w:rPr>
        <w:t xml:space="preserve">supra </w:t>
      </w:r>
      <w:r w:rsidR="00321483" w:rsidRPr="00642002">
        <w:rPr>
          <w:rFonts w:cs="Times New Roman"/>
          <w:szCs w:val="18"/>
          <w:bdr w:val="none" w:sz="0" w:space="0" w:color="auto" w:frame="1"/>
        </w:rPr>
        <w:t>note 2, at</w:t>
      </w:r>
      <w:r w:rsidR="00612BBA" w:rsidRPr="00642002">
        <w:rPr>
          <w:rFonts w:cs="Times New Roman"/>
          <w:szCs w:val="18"/>
        </w:rPr>
        <w:t xml:space="preserve"> 431.</w:t>
      </w:r>
      <w:r w:rsidR="009106C8" w:rsidRPr="00642002">
        <w:rPr>
          <w:rFonts w:cs="Times New Roman"/>
          <w:szCs w:val="18"/>
        </w:rPr>
        <w:t xml:space="preserve"> </w:t>
      </w:r>
      <w:r w:rsidR="008C0AC5" w:rsidRPr="00642002">
        <w:rPr>
          <w:rFonts w:cs="Times New Roman"/>
          <w:szCs w:val="18"/>
        </w:rPr>
        <w:t xml:space="preserve">But, instead of responding to </w:t>
      </w:r>
      <w:r w:rsidR="008C0AC5" w:rsidRPr="00642002">
        <w:rPr>
          <w:rFonts w:cs="Times New Roman"/>
          <w:i/>
          <w:iCs/>
          <w:szCs w:val="18"/>
        </w:rPr>
        <w:t>Bargaining for Free Speech</w:t>
      </w:r>
      <w:r w:rsidR="008C0AC5" w:rsidRPr="00642002">
        <w:rPr>
          <w:rFonts w:cs="Times New Roman"/>
          <w:szCs w:val="18"/>
        </w:rPr>
        <w:t>,</w:t>
      </w:r>
      <w:r w:rsidR="008C0AC5" w:rsidRPr="00642002">
        <w:rPr>
          <w:rFonts w:cs="Times New Roman"/>
          <w:i/>
          <w:iCs/>
          <w:szCs w:val="18"/>
        </w:rPr>
        <w:t xml:space="preserve"> </w:t>
      </w:r>
      <w:r w:rsidR="00F02622" w:rsidRPr="00642002">
        <w:rPr>
          <w:rFonts w:cs="Times New Roman"/>
          <w:szCs w:val="18"/>
        </w:rPr>
        <w:t xml:space="preserve">in </w:t>
      </w:r>
      <w:r w:rsidR="008C0AC5" w:rsidRPr="00642002">
        <w:rPr>
          <w:rFonts w:cs="Times New Roman"/>
          <w:i/>
          <w:iCs/>
          <w:szCs w:val="18"/>
        </w:rPr>
        <w:t>Regulatory Implications</w:t>
      </w:r>
      <w:r w:rsidR="00805552" w:rsidRPr="00642002">
        <w:rPr>
          <w:rFonts w:cs="Times New Roman"/>
          <w:szCs w:val="18"/>
        </w:rPr>
        <w:t xml:space="preserve">, </w:t>
      </w:r>
      <w:r w:rsidR="00525686" w:rsidRPr="00642002">
        <w:rPr>
          <w:rFonts w:cs="Times New Roman"/>
          <w:szCs w:val="18"/>
        </w:rPr>
        <w:t>the author</w:t>
      </w:r>
      <w:r w:rsidR="00712006" w:rsidRPr="00642002">
        <w:rPr>
          <w:rFonts w:cs="Times New Roman"/>
          <w:szCs w:val="18"/>
        </w:rPr>
        <w:t xml:space="preserve"> </w:t>
      </w:r>
      <w:r w:rsidR="008C0AC5" w:rsidRPr="00642002">
        <w:rPr>
          <w:rFonts w:cs="Times New Roman"/>
          <w:szCs w:val="18"/>
        </w:rPr>
        <w:t>quotes me out of context claim</w:t>
      </w:r>
      <w:r w:rsidR="009106C8" w:rsidRPr="00642002">
        <w:rPr>
          <w:rFonts w:cs="Times New Roman"/>
          <w:szCs w:val="18"/>
        </w:rPr>
        <w:t>ing</w:t>
      </w:r>
      <w:r w:rsidR="008C0AC5" w:rsidRPr="00642002">
        <w:rPr>
          <w:rFonts w:cs="Times New Roman"/>
          <w:szCs w:val="18"/>
        </w:rPr>
        <w:t xml:space="preserve"> </w:t>
      </w:r>
      <w:r w:rsidR="000B1906">
        <w:rPr>
          <w:rFonts w:cs="Times New Roman"/>
          <w:szCs w:val="18"/>
        </w:rPr>
        <w:t>“</w:t>
      </w:r>
      <w:r w:rsidR="008C0AC5" w:rsidRPr="00642002">
        <w:rPr>
          <w:rFonts w:cs="Times New Roman"/>
          <w:szCs w:val="18"/>
        </w:rPr>
        <w:t xml:space="preserve">Candeub expressly calls for a new </w:t>
      </w:r>
      <w:r w:rsidR="000B1906">
        <w:rPr>
          <w:rFonts w:cs="Times New Roman"/>
          <w:szCs w:val="18"/>
        </w:rPr>
        <w:t>‘</w:t>
      </w:r>
      <w:r w:rsidR="008C0AC5" w:rsidRPr="00642002">
        <w:rPr>
          <w:rFonts w:cs="Times New Roman"/>
          <w:szCs w:val="18"/>
        </w:rPr>
        <w:t>regulatory deal</w:t>
      </w:r>
      <w:r w:rsidR="000B1906">
        <w:rPr>
          <w:rFonts w:cs="Times New Roman"/>
          <w:szCs w:val="18"/>
        </w:rPr>
        <w:t>’</w:t>
      </w:r>
      <w:r w:rsidR="008C0AC5" w:rsidRPr="00642002">
        <w:rPr>
          <w:rFonts w:cs="Times New Roman"/>
          <w:szCs w:val="18"/>
        </w:rPr>
        <w:t xml:space="preserve"> for network regulation which would </w:t>
      </w:r>
      <w:r w:rsidR="000B1906">
        <w:rPr>
          <w:rFonts w:cs="Times New Roman"/>
          <w:szCs w:val="18"/>
        </w:rPr>
        <w:t>‘</w:t>
      </w:r>
      <w:r w:rsidR="008C0AC5" w:rsidRPr="00642002">
        <w:rPr>
          <w:rFonts w:cs="Times New Roman"/>
          <w:szCs w:val="18"/>
        </w:rPr>
        <w:t>probably require an administrative agency</w:t>
      </w:r>
      <w:r w:rsidR="000B1906">
        <w:rPr>
          <w:rFonts w:cs="Times New Roman"/>
          <w:szCs w:val="18"/>
        </w:rPr>
        <w:t>’</w:t>
      </w:r>
      <w:r w:rsidR="008C0AC5" w:rsidRPr="00642002">
        <w:rPr>
          <w:rFonts w:cs="Times New Roman"/>
          <w:szCs w:val="18"/>
        </w:rPr>
        <w:t xml:space="preserve"> and because he draws heavily from communications law and policy debates, he appears to sit squarely in the public utility camp for platform regulation.</w:t>
      </w:r>
      <w:r w:rsidR="000B1906">
        <w:rPr>
          <w:rFonts w:cs="Times New Roman"/>
          <w:szCs w:val="18"/>
        </w:rPr>
        <w:t>”</w:t>
      </w:r>
      <w:r w:rsidR="003A338A" w:rsidRPr="00642002">
        <w:rPr>
          <w:rFonts w:cs="Times New Roman"/>
          <w:szCs w:val="18"/>
        </w:rPr>
        <w:t xml:space="preserve"> </w:t>
      </w:r>
      <w:r w:rsidR="0001329D" w:rsidRPr="00642002">
        <w:rPr>
          <w:rFonts w:cs="Times New Roman"/>
          <w:i/>
          <w:iCs/>
          <w:szCs w:val="18"/>
        </w:rPr>
        <w:t>Regulating I</w:t>
      </w:r>
      <w:r w:rsidR="004F6543" w:rsidRPr="00642002">
        <w:rPr>
          <w:rFonts w:cs="Times New Roman"/>
          <w:i/>
          <w:iCs/>
          <w:szCs w:val="18"/>
        </w:rPr>
        <w:t>mplications</w:t>
      </w:r>
      <w:r w:rsidR="004F6543" w:rsidRPr="00642002">
        <w:rPr>
          <w:rFonts w:cs="Times New Roman"/>
          <w:szCs w:val="18"/>
        </w:rPr>
        <w:t>,</w:t>
      </w:r>
      <w:r w:rsidR="004F6543" w:rsidRPr="00642002">
        <w:rPr>
          <w:rFonts w:cs="Times New Roman"/>
          <w:i/>
          <w:iCs/>
          <w:szCs w:val="18"/>
        </w:rPr>
        <w:t xml:space="preserve"> supra </w:t>
      </w:r>
      <w:r w:rsidR="004F6543" w:rsidRPr="00642002">
        <w:rPr>
          <w:rFonts w:cs="Times New Roman"/>
          <w:szCs w:val="18"/>
        </w:rPr>
        <w:t>note 1,</w:t>
      </w:r>
      <w:r w:rsidR="0001329D" w:rsidRPr="00642002">
        <w:rPr>
          <w:rFonts w:cs="Times New Roman"/>
          <w:szCs w:val="18"/>
        </w:rPr>
        <w:t xml:space="preserve"> at 7. </w:t>
      </w:r>
      <w:r w:rsidR="005F5398" w:rsidRPr="00642002">
        <w:rPr>
          <w:rFonts w:cs="Times New Roman"/>
          <w:szCs w:val="18"/>
        </w:rPr>
        <w:t>The art</w:t>
      </w:r>
      <w:r w:rsidR="00CB3B6B" w:rsidRPr="00642002">
        <w:rPr>
          <w:rFonts w:cs="Times New Roman"/>
          <w:szCs w:val="18"/>
        </w:rPr>
        <w:t xml:space="preserve">icle </w:t>
      </w:r>
      <w:r w:rsidR="008C0AC5" w:rsidRPr="00642002">
        <w:rPr>
          <w:rFonts w:cs="Times New Roman"/>
          <w:szCs w:val="18"/>
        </w:rPr>
        <w:t xml:space="preserve">fails to mention that </w:t>
      </w:r>
      <w:r w:rsidR="00DE22AB" w:rsidRPr="00642002">
        <w:rPr>
          <w:rFonts w:cs="Times New Roman"/>
          <w:szCs w:val="18"/>
        </w:rPr>
        <w:t>my</w:t>
      </w:r>
      <w:r w:rsidR="008C0AC5" w:rsidRPr="00642002">
        <w:rPr>
          <w:rFonts w:cs="Times New Roman"/>
          <w:szCs w:val="18"/>
        </w:rPr>
        <w:t xml:space="preserve"> reference to an </w:t>
      </w:r>
      <w:r w:rsidR="000B1906">
        <w:rPr>
          <w:rFonts w:cs="Times New Roman"/>
          <w:szCs w:val="18"/>
        </w:rPr>
        <w:t>“</w:t>
      </w:r>
      <w:r w:rsidR="008C0AC5" w:rsidRPr="00642002">
        <w:rPr>
          <w:rFonts w:cs="Times New Roman"/>
          <w:szCs w:val="18"/>
        </w:rPr>
        <w:t>administrative agency</w:t>
      </w:r>
      <w:r w:rsidR="000B1906">
        <w:rPr>
          <w:rFonts w:cs="Times New Roman"/>
          <w:szCs w:val="18"/>
        </w:rPr>
        <w:t>”</w:t>
      </w:r>
      <w:r w:rsidR="008C0AC5" w:rsidRPr="00642002">
        <w:rPr>
          <w:rFonts w:cs="Times New Roman"/>
          <w:szCs w:val="18"/>
        </w:rPr>
        <w:t xml:space="preserve"> was specifically in regard to non-discriminatory </w:t>
      </w:r>
      <w:r w:rsidR="008C0AC5" w:rsidRPr="00642002">
        <w:rPr>
          <w:rFonts w:cs="Times New Roman"/>
          <w:i/>
          <w:iCs/>
          <w:szCs w:val="18"/>
        </w:rPr>
        <w:t>search engine</w:t>
      </w:r>
      <w:r w:rsidR="008C0AC5" w:rsidRPr="00642002">
        <w:rPr>
          <w:rFonts w:cs="Times New Roman"/>
          <w:szCs w:val="18"/>
        </w:rPr>
        <w:t xml:space="preserve"> results.</w:t>
      </w:r>
      <w:r w:rsidR="009106C8" w:rsidRPr="00642002">
        <w:rPr>
          <w:rFonts w:cs="Times New Roman"/>
          <w:szCs w:val="18"/>
        </w:rPr>
        <w:t xml:space="preserve"> </w:t>
      </w:r>
      <w:r w:rsidR="009106C8" w:rsidRPr="00642002">
        <w:rPr>
          <w:rFonts w:cs="Times New Roman"/>
          <w:i/>
          <w:iCs/>
          <w:szCs w:val="18"/>
        </w:rPr>
        <w:t xml:space="preserve">See </w:t>
      </w:r>
      <w:r w:rsidR="00AE52A1" w:rsidRPr="00642002">
        <w:rPr>
          <w:rFonts w:cs="Times New Roman"/>
          <w:i/>
          <w:iCs/>
          <w:szCs w:val="18"/>
        </w:rPr>
        <w:t xml:space="preserve">supra </w:t>
      </w:r>
      <w:r w:rsidR="00AE52A1" w:rsidRPr="00642002">
        <w:rPr>
          <w:rFonts w:cs="Times New Roman"/>
          <w:szCs w:val="18"/>
        </w:rPr>
        <w:t>note 2</w:t>
      </w:r>
      <w:r w:rsidR="00487B88" w:rsidRPr="00642002">
        <w:rPr>
          <w:rFonts w:cs="Times New Roman"/>
          <w:szCs w:val="18"/>
        </w:rPr>
        <w:t>, at 431</w:t>
      </w:r>
      <w:r w:rsidR="009071D5" w:rsidRPr="00642002">
        <w:rPr>
          <w:rFonts w:cs="Times New Roman"/>
          <w:i/>
          <w:iCs/>
          <w:szCs w:val="18"/>
        </w:rPr>
        <w:t xml:space="preserve"> </w:t>
      </w:r>
      <w:r w:rsidR="00140650" w:rsidRPr="00642002">
        <w:rPr>
          <w:rFonts w:cs="Times New Roman"/>
          <w:szCs w:val="18"/>
        </w:rPr>
        <w:t>(</w:t>
      </w:r>
      <w:r w:rsidR="000B1906">
        <w:rPr>
          <w:rFonts w:cs="Times New Roman"/>
          <w:szCs w:val="18"/>
        </w:rPr>
        <w:t>“</w:t>
      </w:r>
      <w:r w:rsidR="00140650" w:rsidRPr="00642002">
        <w:rPr>
          <w:rFonts w:cs="Times New Roman"/>
          <w:szCs w:val="18"/>
        </w:rPr>
        <w:t>T</w:t>
      </w:r>
      <w:r w:rsidR="009106C8" w:rsidRPr="00642002">
        <w:rPr>
          <w:rFonts w:cs="Times New Roman"/>
          <w:szCs w:val="18"/>
        </w:rPr>
        <w:t>he question of search results is, of course, far more complex--and much has been written about how fairness in search results could be maintained. It would probably require an administrative agency, either the FCC or FTC, to examine search algorithms.</w:t>
      </w:r>
      <w:r w:rsidR="000B1906">
        <w:rPr>
          <w:rFonts w:cs="Times New Roman"/>
          <w:szCs w:val="18"/>
        </w:rPr>
        <w:t>”</w:t>
      </w:r>
      <w:r w:rsidR="00140650" w:rsidRPr="000D215A">
        <w:rPr>
          <w:rFonts w:cs="Times New Roman"/>
          <w:szCs w:val="18"/>
        </w:rPr>
        <w:t>).</w:t>
      </w:r>
    </w:p>
  </w:footnote>
  <w:footnote w:id="23">
    <w:p w14:paraId="0AB07FFA" w14:textId="7A4BDB71" w:rsidR="00D2698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D26988" w:rsidRPr="00642002">
        <w:rPr>
          <w:rFonts w:cs="Times New Roman"/>
          <w:i/>
          <w:iCs/>
          <w:szCs w:val="18"/>
        </w:rPr>
        <w:t>Regulatory Implications</w:t>
      </w:r>
      <w:r w:rsidR="00D26988" w:rsidRPr="00642002">
        <w:rPr>
          <w:rFonts w:cs="Times New Roman"/>
          <w:szCs w:val="18"/>
        </w:rPr>
        <w:t>,</w:t>
      </w:r>
      <w:r w:rsidR="00D26988" w:rsidRPr="00642002">
        <w:rPr>
          <w:rFonts w:cs="Times New Roman"/>
          <w:i/>
          <w:iCs/>
          <w:szCs w:val="18"/>
        </w:rPr>
        <w:t xml:space="preserve"> </w:t>
      </w:r>
      <w:r w:rsidR="00227BAD" w:rsidRPr="00642002">
        <w:rPr>
          <w:rFonts w:cs="Times New Roman"/>
          <w:i/>
          <w:iCs/>
          <w:szCs w:val="18"/>
        </w:rPr>
        <w:t xml:space="preserve">supra </w:t>
      </w:r>
      <w:r w:rsidR="00227BAD" w:rsidRPr="00642002">
        <w:rPr>
          <w:rFonts w:cs="Times New Roman"/>
          <w:szCs w:val="18"/>
        </w:rPr>
        <w:t xml:space="preserve">note 1, </w:t>
      </w:r>
      <w:r w:rsidR="00906F93" w:rsidRPr="00642002">
        <w:rPr>
          <w:rFonts w:cs="Times New Roman"/>
          <w:szCs w:val="18"/>
        </w:rPr>
        <w:t>at</w:t>
      </w:r>
      <w:r w:rsidR="00D26988" w:rsidRPr="00642002">
        <w:rPr>
          <w:rFonts w:cs="Times New Roman"/>
          <w:szCs w:val="18"/>
        </w:rPr>
        <w:t xml:space="preserve"> 6</w:t>
      </w:r>
      <w:r w:rsidR="00906F93" w:rsidRPr="00642002">
        <w:rPr>
          <w:rFonts w:cs="Times New Roman"/>
          <w:szCs w:val="18"/>
        </w:rPr>
        <w:t>.</w:t>
      </w:r>
    </w:p>
  </w:footnote>
  <w:footnote w:id="24">
    <w:p w14:paraId="2FFBE7DF" w14:textId="4F773196" w:rsidR="00FA138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0B1906">
        <w:rPr>
          <w:rFonts w:cs="Times New Roman"/>
          <w:szCs w:val="18"/>
        </w:rPr>
        <w:t>“</w:t>
      </w:r>
      <w:r w:rsidR="00FA1388" w:rsidRPr="00642002">
        <w:rPr>
          <w:rFonts w:cs="Times New Roman"/>
          <w:szCs w:val="18"/>
        </w:rPr>
        <w:t>The telegraph was the first communications industry subjected to common carrier laws in the United States</w:t>
      </w:r>
      <w:r w:rsidR="00F07980" w:rsidRPr="00642002">
        <w:rPr>
          <w:rFonts w:cs="Times New Roman"/>
          <w:szCs w:val="18"/>
        </w:rPr>
        <w:t xml:space="preserve"> </w:t>
      </w:r>
      <w:r w:rsidR="00FA1388" w:rsidRPr="00642002">
        <w:rPr>
          <w:rFonts w:cs="Times New Roman"/>
          <w:szCs w:val="18"/>
        </w:rPr>
        <w:t>. . .</w:t>
      </w:r>
      <w:r w:rsidRPr="00642002">
        <w:rPr>
          <w:rFonts w:cs="Times New Roman"/>
          <w:szCs w:val="18"/>
        </w:rPr>
        <w:t xml:space="preserve"> </w:t>
      </w:r>
      <w:r w:rsidR="00FA1388" w:rsidRPr="00642002">
        <w:rPr>
          <w:rFonts w:cs="Times New Roman"/>
          <w:szCs w:val="18"/>
        </w:rPr>
        <w:t xml:space="preserve">But by the end of the nineteenth century, legislators grew </w:t>
      </w:r>
      <w:r w:rsidR="000B1906">
        <w:rPr>
          <w:rFonts w:cs="Times New Roman"/>
          <w:szCs w:val="18"/>
        </w:rPr>
        <w:t>‘</w:t>
      </w:r>
      <w:r w:rsidR="00FA1388" w:rsidRPr="00642002">
        <w:rPr>
          <w:rFonts w:cs="Times New Roman"/>
          <w:szCs w:val="18"/>
        </w:rPr>
        <w:t>concern[ed] about the possibility that the private entities that controlled this amazing new technology would use that power to manipulate the flow of information to the public when doing so served their economic or political self-interest</w:t>
      </w:r>
      <w:r w:rsidR="000B1906">
        <w:rPr>
          <w:rFonts w:cs="Times New Roman"/>
          <w:szCs w:val="18"/>
        </w:rPr>
        <w:t>’</w:t>
      </w:r>
      <w:r w:rsidR="00BA6546" w:rsidRPr="00642002">
        <w:rPr>
          <w:rFonts w:cs="Times New Roman"/>
          <w:szCs w:val="18"/>
        </w:rPr>
        <w:t xml:space="preserve"> .</w:t>
      </w:r>
      <w:r w:rsidR="00FA1388" w:rsidRPr="00642002">
        <w:rPr>
          <w:rFonts w:cs="Times New Roman"/>
          <w:szCs w:val="18"/>
        </w:rPr>
        <w:t xml:space="preserve"> </w:t>
      </w:r>
      <w:r w:rsidR="00FA1388" w:rsidRPr="00642002">
        <w:rPr>
          <w:rFonts w:cs="Times New Roman"/>
          <w:i/>
          <w:iCs/>
          <w:szCs w:val="18"/>
          <w:bdr w:val="none" w:sz="0" w:space="0" w:color="auto" w:frame="1"/>
        </w:rPr>
        <w:t>. . .</w:t>
      </w:r>
      <w:r w:rsidRPr="00642002">
        <w:rPr>
          <w:rFonts w:cs="Times New Roman"/>
          <w:i/>
          <w:iCs/>
          <w:szCs w:val="18"/>
          <w:bdr w:val="none" w:sz="0" w:space="0" w:color="auto" w:frame="1"/>
        </w:rPr>
        <w:t xml:space="preserve"> </w:t>
      </w:r>
      <w:r w:rsidR="00FA1388" w:rsidRPr="00642002">
        <w:rPr>
          <w:rFonts w:cs="Times New Roman"/>
          <w:szCs w:val="18"/>
        </w:rPr>
        <w:t xml:space="preserve">For example, Western Union, the largest telegraph company, sometimes refused to carry messages from journalists that competed with its ally, the Associated Press—or charged them exorbitant rates. And the Associated Press in turn denied its valuable news digests to newspapers that criticized Western Union. Western Union also discriminated against certain political speech, like strike-related telegraphs. And it was widely believed that Western Union and the Associated Press </w:t>
      </w:r>
      <w:r w:rsidR="000B1906">
        <w:rPr>
          <w:rFonts w:cs="Times New Roman"/>
          <w:szCs w:val="18"/>
        </w:rPr>
        <w:t>‘</w:t>
      </w:r>
      <w:r w:rsidR="00FA1388" w:rsidRPr="00642002">
        <w:rPr>
          <w:rFonts w:cs="Times New Roman"/>
          <w:szCs w:val="18"/>
        </w:rPr>
        <w:t>influenc[ed] the reporting of political elections in an effort to promote the election of candidates their directors favored.</w:t>
      </w:r>
      <w:r w:rsidR="000B1906">
        <w:rPr>
          <w:rFonts w:cs="Times New Roman"/>
          <w:szCs w:val="18"/>
        </w:rPr>
        <w:t>’</w:t>
      </w:r>
      <w:r w:rsidR="00D26988" w:rsidRPr="00642002">
        <w:rPr>
          <w:rFonts w:cs="Times New Roman"/>
          <w:szCs w:val="18"/>
        </w:rPr>
        <w:t xml:space="preserve"> </w:t>
      </w:r>
      <w:r w:rsidR="00FA1388" w:rsidRPr="00642002">
        <w:rPr>
          <w:rFonts w:cs="Times New Roman"/>
          <w:szCs w:val="18"/>
          <w:shd w:val="clear" w:color="auto" w:fill="FFFFFF"/>
        </w:rPr>
        <w:t>In response, States enacted common carrier laws to limit discrimination in the transmission of telegraph messages.</w:t>
      </w:r>
      <w:r w:rsidR="000B1906">
        <w:rPr>
          <w:rFonts w:cs="Times New Roman"/>
          <w:szCs w:val="18"/>
        </w:rPr>
        <w:t>”</w:t>
      </w:r>
      <w:r w:rsidR="00FA1388" w:rsidRPr="00642002">
        <w:rPr>
          <w:rFonts w:cs="Times New Roman"/>
          <w:szCs w:val="18"/>
        </w:rPr>
        <w:t xml:space="preserve"> </w:t>
      </w:r>
      <w:r w:rsidR="00FA1388" w:rsidRPr="00642002">
        <w:rPr>
          <w:rFonts w:cs="Times New Roman"/>
          <w:i/>
          <w:iCs/>
          <w:szCs w:val="18"/>
          <w:bdr w:val="none" w:sz="0" w:space="0" w:color="auto" w:frame="1"/>
        </w:rPr>
        <w:t>Paxton</w:t>
      </w:r>
      <w:r w:rsidR="00FA1388" w:rsidRPr="00642002">
        <w:rPr>
          <w:rFonts w:cs="Times New Roman"/>
          <w:szCs w:val="18"/>
        </w:rPr>
        <w:t xml:space="preserve">, 49 F.4th </w:t>
      </w:r>
      <w:r w:rsidR="00F46998" w:rsidRPr="00642002">
        <w:rPr>
          <w:rFonts w:cs="Times New Roman"/>
          <w:szCs w:val="18"/>
        </w:rPr>
        <w:t xml:space="preserve">at </w:t>
      </w:r>
      <w:r w:rsidR="00FA1388" w:rsidRPr="00642002">
        <w:rPr>
          <w:rFonts w:cs="Times New Roman"/>
          <w:szCs w:val="18"/>
        </w:rPr>
        <w:t>470</w:t>
      </w:r>
      <w:r w:rsidR="00F02622" w:rsidRPr="00642002">
        <w:rPr>
          <w:rFonts w:cs="Times New Roman"/>
          <w:szCs w:val="18"/>
        </w:rPr>
        <w:t>-</w:t>
      </w:r>
      <w:r w:rsidR="00FA1388" w:rsidRPr="00642002">
        <w:rPr>
          <w:rFonts w:cs="Times New Roman"/>
          <w:szCs w:val="18"/>
        </w:rPr>
        <w:t>71</w:t>
      </w:r>
      <w:r w:rsidR="00F46998" w:rsidRPr="00642002">
        <w:rPr>
          <w:rFonts w:cs="Times New Roman"/>
          <w:szCs w:val="18"/>
        </w:rPr>
        <w:t>.</w:t>
      </w:r>
    </w:p>
  </w:footnote>
  <w:footnote w:id="25">
    <w:p w14:paraId="301818CB" w14:textId="1B828CBC" w:rsidR="00356537"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356537" w:rsidRPr="00642002">
        <w:rPr>
          <w:rFonts w:cs="Times New Roman"/>
          <w:i/>
          <w:iCs/>
          <w:szCs w:val="18"/>
        </w:rPr>
        <w:t>Paxton</w:t>
      </w:r>
      <w:r w:rsidR="00356537" w:rsidRPr="00642002">
        <w:rPr>
          <w:rFonts w:cs="Times New Roman"/>
          <w:szCs w:val="18"/>
        </w:rPr>
        <w:t xml:space="preserve">, 49 F.4th </w:t>
      </w:r>
      <w:r w:rsidR="008C0B5D" w:rsidRPr="00642002">
        <w:rPr>
          <w:rFonts w:cs="Times New Roman"/>
          <w:szCs w:val="18"/>
        </w:rPr>
        <w:t xml:space="preserve">at </w:t>
      </w:r>
      <w:r w:rsidR="00356537" w:rsidRPr="00642002">
        <w:rPr>
          <w:rFonts w:cs="Times New Roman"/>
          <w:szCs w:val="18"/>
        </w:rPr>
        <w:t>467</w:t>
      </w:r>
      <w:r w:rsidR="00F02622" w:rsidRPr="00642002">
        <w:rPr>
          <w:rFonts w:cs="Times New Roman"/>
          <w:szCs w:val="18"/>
        </w:rPr>
        <w:t>-</w:t>
      </w:r>
      <w:r w:rsidR="00356537" w:rsidRPr="00642002">
        <w:rPr>
          <w:rFonts w:cs="Times New Roman"/>
          <w:szCs w:val="18"/>
        </w:rPr>
        <w:t>68 (The Platforms</w:t>
      </w:r>
      <w:r w:rsidR="000B1906">
        <w:rPr>
          <w:rFonts w:cs="Times New Roman"/>
          <w:szCs w:val="18"/>
        </w:rPr>
        <w:t>’</w:t>
      </w:r>
      <w:r w:rsidR="00356537" w:rsidRPr="00642002">
        <w:rPr>
          <w:rFonts w:cs="Times New Roman"/>
          <w:szCs w:val="18"/>
        </w:rPr>
        <w:t xml:space="preserve"> position in this case is a marked shift from their past claims that they are simple conduits for user speech and that whatever might look like editorial control is in fact the blind operation of </w:t>
      </w:r>
      <w:r w:rsidR="000B1906">
        <w:rPr>
          <w:rFonts w:cs="Times New Roman"/>
          <w:szCs w:val="18"/>
        </w:rPr>
        <w:t>“</w:t>
      </w:r>
      <w:r w:rsidR="00356537" w:rsidRPr="00642002">
        <w:rPr>
          <w:rFonts w:cs="Times New Roman"/>
          <w:szCs w:val="18"/>
        </w:rPr>
        <w:t>neutral tools.</w:t>
      </w:r>
      <w:r w:rsidR="000B1906">
        <w:rPr>
          <w:rFonts w:cs="Times New Roman"/>
          <w:szCs w:val="18"/>
        </w:rPr>
        <w:t>”</w:t>
      </w:r>
      <w:r w:rsidR="00F0261D" w:rsidRPr="00642002">
        <w:rPr>
          <w:rFonts w:cs="Times New Roman"/>
          <w:szCs w:val="18"/>
        </w:rPr>
        <w:t>).</w:t>
      </w:r>
    </w:p>
  </w:footnote>
  <w:footnote w:id="26">
    <w:p w14:paraId="6275CCC4" w14:textId="4DBC39DC" w:rsidR="00C96280" w:rsidRPr="00642002" w:rsidRDefault="00C96280" w:rsidP="001179A4">
      <w:pPr>
        <w:pStyle w:val="FootnoteText"/>
        <w:jc w:val="both"/>
      </w:pPr>
      <w:r w:rsidRPr="00642002">
        <w:rPr>
          <w:rStyle w:val="FootnoteReference"/>
          <w:vertAlign w:val="baseline"/>
        </w:rPr>
        <w:t xml:space="preserve"> </w:t>
      </w:r>
      <w:r w:rsidRPr="00642002">
        <w:rPr>
          <w:rStyle w:val="FootnoteReference"/>
          <w:vertAlign w:val="baseline"/>
        </w:rPr>
        <w:footnoteRef/>
      </w:r>
      <w:r w:rsidRPr="00642002">
        <w:rPr>
          <w:rStyle w:val="FootnoteReference"/>
          <w:vertAlign w:val="baseline"/>
        </w:rPr>
        <w:t>.</w:t>
      </w:r>
      <w:r w:rsidRPr="00642002">
        <w:rPr>
          <w:rStyle w:val="FootnoteReference"/>
          <w:vertAlign w:val="baseline"/>
        </w:rPr>
        <w:tab/>
      </w:r>
      <w:r w:rsidRPr="00642002">
        <w:t xml:space="preserve">Twitter, Inc. v. Taamneh, 598 U.S. 471, 499 (2023). </w:t>
      </w:r>
    </w:p>
  </w:footnote>
  <w:footnote w:id="27">
    <w:p w14:paraId="2E3B1C86" w14:textId="239C6997" w:rsidR="00D2698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3038BB31" w:rsidRPr="00642002">
        <w:rPr>
          <w:rFonts w:cs="Times New Roman"/>
          <w:i/>
          <w:iCs/>
          <w:szCs w:val="18"/>
        </w:rPr>
        <w:t>Regulatory Implicatio</w:t>
      </w:r>
      <w:r w:rsidR="3038BB31" w:rsidRPr="00642002">
        <w:rPr>
          <w:rFonts w:eastAsia="Century Schoolbook" w:cs="Times New Roman"/>
          <w:i/>
          <w:iCs/>
          <w:szCs w:val="18"/>
        </w:rPr>
        <w:t>ns</w:t>
      </w:r>
      <w:r w:rsidR="3038BB31" w:rsidRPr="00642002">
        <w:rPr>
          <w:rFonts w:eastAsia="Century Schoolbook" w:cs="Times New Roman"/>
          <w:szCs w:val="18"/>
        </w:rPr>
        <w:t>,</w:t>
      </w:r>
      <w:r w:rsidR="3038BB31" w:rsidRPr="00642002">
        <w:rPr>
          <w:rFonts w:eastAsia="Century Schoolbook" w:cs="Times New Roman"/>
          <w:i/>
          <w:iCs/>
          <w:szCs w:val="18"/>
        </w:rPr>
        <w:t xml:space="preserve"> </w:t>
      </w:r>
      <w:r w:rsidR="004D5618" w:rsidRPr="00642002">
        <w:rPr>
          <w:rFonts w:eastAsia="Century Schoolbook" w:cs="Times New Roman"/>
          <w:i/>
          <w:iCs/>
          <w:szCs w:val="18"/>
        </w:rPr>
        <w:t>supra</w:t>
      </w:r>
      <w:r w:rsidR="004D5618" w:rsidRPr="00642002">
        <w:rPr>
          <w:rFonts w:eastAsia="Century Schoolbook" w:cs="Times New Roman"/>
          <w:szCs w:val="18"/>
        </w:rPr>
        <w:t xml:space="preserve"> note 1,</w:t>
      </w:r>
      <w:r w:rsidR="3038BB31" w:rsidRPr="00642002">
        <w:rPr>
          <w:rFonts w:eastAsia="Century Schoolbook" w:cs="Times New Roman"/>
          <w:szCs w:val="18"/>
        </w:rPr>
        <w:t xml:space="preserve"> at 9.</w:t>
      </w:r>
    </w:p>
  </w:footnote>
  <w:footnote w:id="28">
    <w:p w14:paraId="134D5881" w14:textId="4486C9E5" w:rsidR="00FA138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FA1388" w:rsidRPr="00642002">
        <w:rPr>
          <w:rFonts w:cs="Times New Roman"/>
          <w:szCs w:val="18"/>
        </w:rPr>
        <w:t>Protecting and Promoting the Open Internet</w:t>
      </w:r>
      <w:r w:rsidR="00FA1388" w:rsidRPr="00642002">
        <w:rPr>
          <w:rStyle w:val="FootnoteReference"/>
          <w:rFonts w:cs="Times New Roman"/>
          <w:szCs w:val="18"/>
          <w:vertAlign w:val="baseline"/>
        </w:rPr>
        <w:t>,</w:t>
      </w:r>
      <w:r w:rsidR="00DD07B7" w:rsidRPr="00642002">
        <w:rPr>
          <w:rFonts w:cs="Times New Roman"/>
          <w:szCs w:val="18"/>
        </w:rPr>
        <w:t xml:space="preserve"> </w:t>
      </w:r>
      <w:r w:rsidR="00DD07B7" w:rsidRPr="00642002">
        <w:rPr>
          <w:rFonts w:cs="Times New Roman"/>
          <w:i/>
          <w:iCs/>
          <w:szCs w:val="18"/>
        </w:rPr>
        <w:t>Final Rule</w:t>
      </w:r>
      <w:r w:rsidR="00FA1388" w:rsidRPr="00642002">
        <w:rPr>
          <w:rStyle w:val="FootnoteReference"/>
          <w:rFonts w:cs="Times New Roman"/>
          <w:szCs w:val="18"/>
          <w:vertAlign w:val="baseline"/>
        </w:rPr>
        <w:t xml:space="preserve"> 30 FCC Rcd. 5601, 5604 ¶ 6 (2015).</w:t>
      </w:r>
      <w:r w:rsidRPr="00642002">
        <w:rPr>
          <w:rStyle w:val="FootnoteReference"/>
          <w:rFonts w:cs="Times New Roman"/>
          <w:szCs w:val="18"/>
          <w:vertAlign w:val="baseline"/>
        </w:rPr>
        <w:t xml:space="preserve"> </w:t>
      </w:r>
      <w:r w:rsidR="00FA1388" w:rsidRPr="00642002">
        <w:rPr>
          <w:rStyle w:val="FootnoteReference"/>
          <w:rFonts w:cs="Times New Roman"/>
          <w:szCs w:val="18"/>
          <w:vertAlign w:val="baseline"/>
        </w:rPr>
        <w:t>Although the order was upheld by the D.C</w:t>
      </w:r>
      <w:r w:rsidR="00FA1388" w:rsidRPr="00642002">
        <w:rPr>
          <w:rFonts w:cs="Times New Roman"/>
          <w:szCs w:val="18"/>
        </w:rPr>
        <w:t xml:space="preserve">. </w:t>
      </w:r>
      <w:r w:rsidR="00FA1388" w:rsidRPr="00642002">
        <w:rPr>
          <w:rStyle w:val="FootnoteReference"/>
          <w:rFonts w:cs="Times New Roman"/>
          <w:szCs w:val="18"/>
          <w:vertAlign w:val="baseline"/>
        </w:rPr>
        <w:t xml:space="preserve">Circuit </w:t>
      </w:r>
      <w:r w:rsidR="00FA1388" w:rsidRPr="00642002">
        <w:rPr>
          <w:rFonts w:cs="Times New Roman"/>
          <w:szCs w:val="18"/>
        </w:rPr>
        <w:t>in</w:t>
      </w:r>
      <w:r w:rsidR="00FA1388" w:rsidRPr="00642002">
        <w:rPr>
          <w:rStyle w:val="FootnoteReference"/>
          <w:rFonts w:cs="Times New Roman"/>
          <w:szCs w:val="18"/>
          <w:vertAlign w:val="baseline"/>
        </w:rPr>
        <w:t xml:space="preserve"> United States Telecom Ass</w:t>
      </w:r>
      <w:r w:rsidR="000B1906">
        <w:rPr>
          <w:rStyle w:val="FootnoteReference"/>
          <w:rFonts w:cs="Times New Roman"/>
          <w:szCs w:val="18"/>
          <w:vertAlign w:val="baseline"/>
        </w:rPr>
        <w:t>’</w:t>
      </w:r>
      <w:r w:rsidR="00FA1388" w:rsidRPr="00642002">
        <w:rPr>
          <w:rStyle w:val="FootnoteReference"/>
          <w:rFonts w:cs="Times New Roman"/>
          <w:szCs w:val="18"/>
          <w:vertAlign w:val="baseline"/>
        </w:rPr>
        <w:t xml:space="preserve">n v. </w:t>
      </w:r>
      <w:r w:rsidR="00F02622" w:rsidRPr="00642002">
        <w:rPr>
          <w:rStyle w:val="FootnoteReference"/>
          <w:rFonts w:cs="Times New Roman"/>
          <w:szCs w:val="18"/>
          <w:vertAlign w:val="baseline"/>
        </w:rPr>
        <w:t>F</w:t>
      </w:r>
      <w:r w:rsidR="00F02622" w:rsidRPr="00642002">
        <w:rPr>
          <w:rFonts w:cs="Times New Roman"/>
          <w:szCs w:val="18"/>
        </w:rPr>
        <w:t>CC</w:t>
      </w:r>
      <w:r w:rsidR="00FA1388" w:rsidRPr="00642002">
        <w:rPr>
          <w:rStyle w:val="FootnoteReference"/>
          <w:rFonts w:cs="Times New Roman"/>
          <w:szCs w:val="18"/>
          <w:vertAlign w:val="baseline"/>
        </w:rPr>
        <w:t>, 855 F.3d 381, 382 (D.C. Cir. 2017)</w:t>
      </w:r>
      <w:r w:rsidR="00FA1388" w:rsidRPr="00642002">
        <w:rPr>
          <w:rFonts w:cs="Times New Roman"/>
          <w:szCs w:val="18"/>
        </w:rPr>
        <w:t>,</w:t>
      </w:r>
      <w:r w:rsidR="00FA1388" w:rsidRPr="00642002">
        <w:rPr>
          <w:rStyle w:val="FootnoteReference"/>
          <w:rFonts w:cs="Times New Roman"/>
          <w:szCs w:val="18"/>
          <w:vertAlign w:val="baseline"/>
        </w:rPr>
        <w:t xml:space="preserve"> the FCC </w:t>
      </w:r>
      <w:r w:rsidR="00FA1388" w:rsidRPr="00642002">
        <w:rPr>
          <w:rFonts w:cs="Times New Roman"/>
          <w:szCs w:val="18"/>
        </w:rPr>
        <w:t xml:space="preserve">later </w:t>
      </w:r>
      <w:r w:rsidR="00FA1388" w:rsidRPr="00642002">
        <w:rPr>
          <w:rStyle w:val="FootnoteReference"/>
          <w:rFonts w:cs="Times New Roman"/>
          <w:szCs w:val="18"/>
          <w:vertAlign w:val="baseline"/>
        </w:rPr>
        <w:t xml:space="preserve">abrogated </w:t>
      </w:r>
      <w:r w:rsidR="00FA1388" w:rsidRPr="00642002">
        <w:rPr>
          <w:rFonts w:cs="Times New Roman"/>
          <w:szCs w:val="18"/>
        </w:rPr>
        <w:t xml:space="preserve">it. </w:t>
      </w:r>
      <w:r w:rsidR="00FA1388" w:rsidRPr="00642002">
        <w:rPr>
          <w:rStyle w:val="FootnoteReference"/>
          <w:rFonts w:cs="Times New Roman"/>
          <w:szCs w:val="18"/>
          <w:vertAlign w:val="baseline"/>
        </w:rPr>
        <w:t xml:space="preserve">In the </w:t>
      </w:r>
      <w:r w:rsidR="0081452A" w:rsidRPr="00642002">
        <w:rPr>
          <w:rFonts w:cs="Times New Roman"/>
          <w:szCs w:val="18"/>
        </w:rPr>
        <w:t xml:space="preserve">Restoring Internet Freedom, </w:t>
      </w:r>
      <w:r w:rsidR="0081452A" w:rsidRPr="00642002">
        <w:rPr>
          <w:rFonts w:cs="Times New Roman"/>
          <w:i/>
          <w:iCs/>
          <w:szCs w:val="18"/>
        </w:rPr>
        <w:t>Declaratory Ruling, Order, Report and Order</w:t>
      </w:r>
      <w:r w:rsidR="0081452A" w:rsidRPr="00642002">
        <w:rPr>
          <w:rFonts w:cs="Times New Roman"/>
          <w:szCs w:val="18"/>
        </w:rPr>
        <w:t>, 33 FCC Rd. 311 (2018)</w:t>
      </w:r>
      <w:r w:rsidR="007276C8" w:rsidRPr="00642002">
        <w:rPr>
          <w:rFonts w:cs="Times New Roman"/>
          <w:szCs w:val="18"/>
        </w:rPr>
        <w:t xml:space="preserve"> [hereinafter </w:t>
      </w:r>
      <w:r w:rsidR="007276C8" w:rsidRPr="00642002">
        <w:rPr>
          <w:rFonts w:cs="Times New Roman"/>
          <w:i/>
          <w:iCs/>
          <w:szCs w:val="18"/>
        </w:rPr>
        <w:t>Restoring Internet Freedom</w:t>
      </w:r>
      <w:r w:rsidR="00357C16" w:rsidRPr="00642002">
        <w:rPr>
          <w:rFonts w:cs="Times New Roman"/>
          <w:szCs w:val="18"/>
        </w:rPr>
        <w:t xml:space="preserve"> </w:t>
      </w:r>
      <w:r w:rsidR="00357C16" w:rsidRPr="00642002">
        <w:rPr>
          <w:rFonts w:cs="Times New Roman"/>
          <w:i/>
          <w:iCs/>
          <w:szCs w:val="18"/>
        </w:rPr>
        <w:t>Declaratory Ruling</w:t>
      </w:r>
      <w:r w:rsidR="007276C8" w:rsidRPr="00642002">
        <w:rPr>
          <w:rFonts w:cs="Times New Roman"/>
          <w:szCs w:val="18"/>
        </w:rPr>
        <w:t>]</w:t>
      </w:r>
      <w:r w:rsidR="0081452A" w:rsidRPr="00642002">
        <w:rPr>
          <w:rFonts w:cs="Times New Roman"/>
          <w:szCs w:val="18"/>
        </w:rPr>
        <w:t>.</w:t>
      </w:r>
    </w:p>
  </w:footnote>
  <w:footnote w:id="29">
    <w:p w14:paraId="1EBB9D29" w14:textId="2F12F962" w:rsidR="00F4094F" w:rsidRPr="00237393" w:rsidRDefault="00237393" w:rsidP="001179A4">
      <w:pPr>
        <w:pStyle w:val="FootnoteText"/>
        <w:jc w:val="both"/>
      </w:pPr>
      <w:r>
        <w:t xml:space="preserve"> </w:t>
      </w:r>
      <w:r w:rsidR="00F4094F" w:rsidRPr="0009441A">
        <w:rPr>
          <w:rStyle w:val="FootnoteReference"/>
          <w:vertAlign w:val="baseline"/>
        </w:rPr>
        <w:footnoteRef/>
      </w:r>
      <w:r>
        <w:t>.</w:t>
      </w:r>
      <w:r w:rsidR="0002671B" w:rsidRPr="0002671B">
        <w:t xml:space="preserve"> </w:t>
      </w:r>
      <w:r w:rsidR="0002671B">
        <w:t>Ace Tel. Ass</w:t>
      </w:r>
      <w:r w:rsidR="000B1906">
        <w:t>’</w:t>
      </w:r>
      <w:r w:rsidR="0002671B">
        <w:t>n v. Koppendrayer, 432 F.3d 876, 880 (8th Cir. 2005) (</w:t>
      </w:r>
      <w:r w:rsidR="000B1906">
        <w:t>“</w:t>
      </w:r>
      <w:r w:rsidR="0009441A">
        <w:t>[T]</w:t>
      </w:r>
      <w:r w:rsidR="0002671B">
        <w:t>he MPUC reasonably concluded that the additional costs for terminating a telephone call were approximately zero</w:t>
      </w:r>
      <w:r w:rsidR="0009441A">
        <w:t>[.]</w:t>
      </w:r>
      <w:r w:rsidR="000B1906">
        <w:t>”</w:t>
      </w:r>
      <w:r w:rsidR="0002671B">
        <w:t>).</w:t>
      </w:r>
    </w:p>
  </w:footnote>
  <w:footnote w:id="30">
    <w:p w14:paraId="62AE5727" w14:textId="04A140FD" w:rsidR="00E03E94"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Pr="00642002">
        <w:rPr>
          <w:rFonts w:cs="Times New Roman"/>
          <w:i/>
          <w:iCs/>
          <w:szCs w:val="18"/>
        </w:rPr>
        <w:t>Regulatory Implications</w:t>
      </w:r>
      <w:r w:rsidR="00F02622" w:rsidRPr="00642002">
        <w:rPr>
          <w:rFonts w:cs="Times New Roman"/>
          <w:szCs w:val="18"/>
        </w:rPr>
        <w:t xml:space="preserve">, </w:t>
      </w:r>
      <w:r w:rsidR="00F02622" w:rsidRPr="00642002">
        <w:rPr>
          <w:rFonts w:cs="Times New Roman"/>
          <w:i/>
          <w:iCs/>
          <w:szCs w:val="18"/>
        </w:rPr>
        <w:t>supra</w:t>
      </w:r>
      <w:r w:rsidR="00F02622" w:rsidRPr="00642002">
        <w:rPr>
          <w:rFonts w:cs="Times New Roman"/>
          <w:szCs w:val="18"/>
        </w:rPr>
        <w:t xml:space="preserve"> note 1, at 13</w:t>
      </w:r>
      <w:r w:rsidR="00F07980" w:rsidRPr="00642002">
        <w:rPr>
          <w:rFonts w:cs="Times New Roman"/>
          <w:szCs w:val="18"/>
        </w:rPr>
        <w:t xml:space="preserve">; </w:t>
      </w:r>
      <w:r w:rsidR="00F07980" w:rsidRPr="00642002">
        <w:rPr>
          <w:rFonts w:cs="Times New Roman"/>
          <w:i/>
          <w:iCs/>
          <w:szCs w:val="18"/>
        </w:rPr>
        <w:t>see also</w:t>
      </w:r>
      <w:r w:rsidR="00F07980" w:rsidRPr="00642002">
        <w:rPr>
          <w:rFonts w:cs="Times New Roman"/>
          <w:szCs w:val="18"/>
        </w:rPr>
        <w:t xml:space="preserve"> Orloff v. FCC, 352 F.3d 415 (D.C. Cir. 2003), </w:t>
      </w:r>
      <w:r w:rsidR="00F07980" w:rsidRPr="00642002">
        <w:rPr>
          <w:rFonts w:cs="Times New Roman"/>
          <w:i/>
          <w:iCs/>
          <w:szCs w:val="18"/>
        </w:rPr>
        <w:t>cert denied</w:t>
      </w:r>
      <w:r w:rsidR="00F07980" w:rsidRPr="00642002">
        <w:rPr>
          <w:rFonts w:cs="Times New Roman"/>
          <w:szCs w:val="18"/>
        </w:rPr>
        <w:t>, 542 U.S. 937 (2004).</w:t>
      </w:r>
    </w:p>
  </w:footnote>
  <w:footnote w:id="31">
    <w:p w14:paraId="57989CBE" w14:textId="17771CED" w:rsidR="00E03E94"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F07980" w:rsidRPr="00642002">
        <w:rPr>
          <w:rFonts w:cs="Times New Roman"/>
          <w:i/>
          <w:iCs/>
          <w:szCs w:val="18"/>
        </w:rPr>
        <w:t>Orloff</w:t>
      </w:r>
      <w:r w:rsidR="00F07980" w:rsidRPr="00642002">
        <w:rPr>
          <w:rFonts w:cs="Times New Roman"/>
          <w:szCs w:val="18"/>
        </w:rPr>
        <w:t>, 352 F.3d</w:t>
      </w:r>
      <w:r w:rsidR="00E03E94" w:rsidRPr="00642002">
        <w:rPr>
          <w:rFonts w:cs="Times New Roman"/>
          <w:szCs w:val="18"/>
        </w:rPr>
        <w:t xml:space="preserve"> at 420.</w:t>
      </w:r>
    </w:p>
  </w:footnote>
  <w:footnote w:id="32">
    <w:p w14:paraId="3ECAFE4D" w14:textId="0FDDBF45" w:rsidR="00560EB4" w:rsidRPr="00560EB4" w:rsidRDefault="00560EB4" w:rsidP="001179A4">
      <w:pPr>
        <w:pStyle w:val="FootnoteText"/>
        <w:jc w:val="both"/>
      </w:pPr>
      <w:r>
        <w:t xml:space="preserve"> </w:t>
      </w:r>
      <w:r w:rsidRPr="0009441A">
        <w:rPr>
          <w:rStyle w:val="FootnoteReference"/>
          <w:vertAlign w:val="baseline"/>
        </w:rPr>
        <w:footnoteRef/>
      </w:r>
      <w:r>
        <w:t>.</w:t>
      </w:r>
      <w:r>
        <w:tab/>
      </w:r>
      <w:r w:rsidRPr="00560EB4">
        <w:rPr>
          <w:i/>
          <w:iCs/>
        </w:rPr>
        <w:t>Regulatory Implications</w:t>
      </w:r>
      <w:r w:rsidRPr="00560EB4">
        <w:t xml:space="preserve">, </w:t>
      </w:r>
      <w:r w:rsidRPr="00560EB4">
        <w:rPr>
          <w:i/>
          <w:iCs/>
        </w:rPr>
        <w:t>supra</w:t>
      </w:r>
      <w:r w:rsidRPr="00560EB4">
        <w:t xml:space="preserve"> note 1, at 13-14.</w:t>
      </w:r>
    </w:p>
  </w:footnote>
  <w:footnote w:id="33">
    <w:p w14:paraId="7A64AD9B" w14:textId="6DDAC010" w:rsidR="00C669F2"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C669F2" w:rsidRPr="00642002">
        <w:rPr>
          <w:rFonts w:cs="Times New Roman"/>
          <w:i/>
          <w:iCs/>
          <w:szCs w:val="18"/>
        </w:rPr>
        <w:t>See, e.g.</w:t>
      </w:r>
      <w:r w:rsidR="00C669F2" w:rsidRPr="00642002">
        <w:rPr>
          <w:rFonts w:cs="Times New Roman"/>
          <w:szCs w:val="18"/>
        </w:rPr>
        <w:t>,</w:t>
      </w:r>
      <w:r w:rsidR="00C669F2" w:rsidRPr="00642002">
        <w:rPr>
          <w:rFonts w:cs="Times New Roman"/>
          <w:i/>
          <w:iCs/>
          <w:szCs w:val="18"/>
        </w:rPr>
        <w:t xml:space="preserve"> </w:t>
      </w:r>
      <w:r w:rsidR="002B5EB9" w:rsidRPr="00642002">
        <w:t>N.J. Stat. Ann. § 10:5-4 (West 1993)</w:t>
      </w:r>
      <w:r w:rsidR="00B80FD4" w:rsidRPr="00642002">
        <w:rPr>
          <w:rFonts w:cs="Times New Roman"/>
          <w:szCs w:val="18"/>
          <w:bdr w:val="none" w:sz="0" w:space="0" w:color="auto" w:frame="1"/>
          <w:shd w:val="clear" w:color="auto" w:fill="FFFFFF"/>
        </w:rPr>
        <w:t>.</w:t>
      </w:r>
    </w:p>
  </w:footnote>
  <w:footnote w:id="34">
    <w:p w14:paraId="171899A4" w14:textId="49617522" w:rsidR="00C04DC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2D41CE" w:rsidRPr="00642002">
        <w:rPr>
          <w:rFonts w:cs="Times New Roman"/>
          <w:szCs w:val="18"/>
        </w:rPr>
        <w:t>Morgan v. Virginia, 328 U.S. 373</w:t>
      </w:r>
      <w:r w:rsidR="0023744B" w:rsidRPr="00642002">
        <w:rPr>
          <w:rFonts w:cs="Times New Roman"/>
          <w:szCs w:val="18"/>
        </w:rPr>
        <w:t>, 374</w:t>
      </w:r>
      <w:r w:rsidR="00F02622" w:rsidRPr="00642002">
        <w:rPr>
          <w:rFonts w:cs="Times New Roman"/>
          <w:szCs w:val="18"/>
        </w:rPr>
        <w:t>-</w:t>
      </w:r>
      <w:r w:rsidR="0023744B" w:rsidRPr="00642002">
        <w:rPr>
          <w:rFonts w:cs="Times New Roman"/>
          <w:szCs w:val="18"/>
        </w:rPr>
        <w:t>75, 383</w:t>
      </w:r>
      <w:r w:rsidR="00F02622" w:rsidRPr="00642002">
        <w:rPr>
          <w:rFonts w:cs="Times New Roman"/>
          <w:szCs w:val="18"/>
        </w:rPr>
        <w:t>-</w:t>
      </w:r>
      <w:r w:rsidR="0023744B" w:rsidRPr="00642002">
        <w:rPr>
          <w:rFonts w:cs="Times New Roman"/>
          <w:szCs w:val="18"/>
        </w:rPr>
        <w:t>86</w:t>
      </w:r>
      <w:r w:rsidR="002D41CE" w:rsidRPr="00642002">
        <w:rPr>
          <w:rFonts w:cs="Times New Roman"/>
          <w:szCs w:val="18"/>
        </w:rPr>
        <w:t xml:space="preserve"> (1946); </w:t>
      </w:r>
      <w:r w:rsidR="00C04DCB" w:rsidRPr="00642002">
        <w:rPr>
          <w:rFonts w:cs="Times New Roman"/>
          <w:szCs w:val="18"/>
        </w:rPr>
        <w:t>Mitchell v. United States, 313 U.S. 80, 94</w:t>
      </w:r>
      <w:r w:rsidR="00F02622" w:rsidRPr="00642002">
        <w:rPr>
          <w:rFonts w:cs="Times New Roman"/>
          <w:szCs w:val="18"/>
        </w:rPr>
        <w:t>-</w:t>
      </w:r>
      <w:r w:rsidR="00C04DCB" w:rsidRPr="00642002">
        <w:rPr>
          <w:rFonts w:cs="Times New Roman"/>
          <w:szCs w:val="18"/>
        </w:rPr>
        <w:t>95 (1941) (finding that federal law prohibits common carriers from discriminating based on race and requires them to provide equal access to accommodations).</w:t>
      </w:r>
    </w:p>
  </w:footnote>
  <w:footnote w:id="35">
    <w:p w14:paraId="5EF21749" w14:textId="5EE49B0D" w:rsidR="00842C02"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8875A6" w:rsidRPr="00642002">
        <w:rPr>
          <w:rFonts w:cs="Times New Roman"/>
          <w:szCs w:val="18"/>
        </w:rPr>
        <w:t xml:space="preserve">Dr. </w:t>
      </w:r>
      <w:r w:rsidR="00842C02" w:rsidRPr="00642002">
        <w:rPr>
          <w:rFonts w:cs="Times New Roman"/>
          <w:szCs w:val="18"/>
        </w:rPr>
        <w:t xml:space="preserve">George S. Ford, </w:t>
      </w:r>
      <w:r w:rsidR="00842C02" w:rsidRPr="00642002">
        <w:rPr>
          <w:rStyle w:val="Emphasis"/>
          <w:rFonts w:cs="Times New Roman"/>
          <w:szCs w:val="18"/>
          <w:bdr w:val="none" w:sz="0" w:space="0" w:color="auto" w:frame="1"/>
        </w:rPr>
        <w:t>Net Neutrality, Reclassification and Investment: A Counterfactual Analysis</w:t>
      </w:r>
      <w:r w:rsidR="00842C02" w:rsidRPr="00642002">
        <w:rPr>
          <w:rFonts w:cs="Times New Roman"/>
          <w:szCs w:val="18"/>
        </w:rPr>
        <w:t xml:space="preserve">, </w:t>
      </w:r>
      <w:r w:rsidR="00B37E8B" w:rsidRPr="00642002">
        <w:rPr>
          <w:rFonts w:cs="Times New Roman"/>
          <w:szCs w:val="18"/>
        </w:rPr>
        <w:t xml:space="preserve">No. 17-02 </w:t>
      </w:r>
      <w:r w:rsidR="00842C02" w:rsidRPr="00642002">
        <w:rPr>
          <w:rStyle w:val="cosmallcaps"/>
          <w:rFonts w:cs="Times New Roman"/>
          <w:smallCaps/>
          <w:szCs w:val="18"/>
          <w:bdr w:val="none" w:sz="0" w:space="0" w:color="auto" w:frame="1"/>
          <w:shd w:val="clear" w:color="auto" w:fill="FFFFFF"/>
        </w:rPr>
        <w:t>P</w:t>
      </w:r>
      <w:r w:rsidR="0021405D" w:rsidRPr="00642002">
        <w:rPr>
          <w:rStyle w:val="cosmallcaps"/>
          <w:rFonts w:cs="Times New Roman"/>
          <w:smallCaps/>
          <w:szCs w:val="18"/>
          <w:bdr w:val="none" w:sz="0" w:space="0" w:color="auto" w:frame="1"/>
          <w:shd w:val="clear" w:color="auto" w:fill="FFFFFF"/>
        </w:rPr>
        <w:t xml:space="preserve">erspectives, </w:t>
      </w:r>
      <w:r w:rsidR="00886FB9" w:rsidRPr="00642002">
        <w:rPr>
          <w:rStyle w:val="cosmallcaps"/>
          <w:rFonts w:cs="Times New Roman"/>
          <w:smallCaps/>
          <w:szCs w:val="18"/>
          <w:bdr w:val="none" w:sz="0" w:space="0" w:color="auto" w:frame="1"/>
          <w:shd w:val="clear" w:color="auto" w:fill="FFFFFF"/>
        </w:rPr>
        <w:t>P</w:t>
      </w:r>
      <w:r w:rsidR="009415D6" w:rsidRPr="00642002">
        <w:rPr>
          <w:rStyle w:val="cosmallcaps"/>
          <w:rFonts w:cs="Times New Roman"/>
          <w:smallCaps/>
          <w:szCs w:val="18"/>
          <w:bdr w:val="none" w:sz="0" w:space="0" w:color="auto" w:frame="1"/>
          <w:shd w:val="clear" w:color="auto" w:fill="FFFFFF"/>
        </w:rPr>
        <w:t>hx</w:t>
      </w:r>
      <w:r w:rsidR="00842C02" w:rsidRPr="00642002">
        <w:rPr>
          <w:rStyle w:val="cosmallcaps"/>
          <w:rFonts w:cs="Times New Roman"/>
          <w:caps/>
          <w:szCs w:val="18"/>
          <w:bdr w:val="none" w:sz="0" w:space="0" w:color="auto" w:frame="1"/>
          <w:shd w:val="clear" w:color="auto" w:fill="FFFFFF"/>
        </w:rPr>
        <w:t xml:space="preserve">. </w:t>
      </w:r>
      <w:r w:rsidR="00842C02" w:rsidRPr="00642002">
        <w:rPr>
          <w:rStyle w:val="cosmallcaps"/>
          <w:rFonts w:cs="Times New Roman"/>
          <w:smallCaps/>
          <w:szCs w:val="18"/>
          <w:bdr w:val="none" w:sz="0" w:space="0" w:color="auto" w:frame="1"/>
          <w:shd w:val="clear" w:color="auto" w:fill="FFFFFF"/>
        </w:rPr>
        <w:t xml:space="preserve">Ctr. </w:t>
      </w:r>
      <w:r w:rsidR="00F331B5" w:rsidRPr="00642002">
        <w:rPr>
          <w:rStyle w:val="cosmallcaps"/>
          <w:rFonts w:cs="Times New Roman"/>
          <w:smallCaps/>
          <w:szCs w:val="18"/>
          <w:bdr w:val="none" w:sz="0" w:space="0" w:color="auto" w:frame="1"/>
          <w:shd w:val="clear" w:color="auto" w:fill="FFFFFF"/>
        </w:rPr>
        <w:t xml:space="preserve">Advanced &amp; Econ. Legal Pub. </w:t>
      </w:r>
      <w:r w:rsidR="00842C02" w:rsidRPr="00642002">
        <w:rPr>
          <w:rStyle w:val="cosmallcaps"/>
          <w:rFonts w:cs="Times New Roman"/>
          <w:smallCaps/>
          <w:szCs w:val="18"/>
          <w:bdr w:val="none" w:sz="0" w:space="0" w:color="auto" w:frame="1"/>
          <w:shd w:val="clear" w:color="auto" w:fill="FFFFFF"/>
        </w:rPr>
        <w:t>Pol</w:t>
      </w:r>
      <w:r w:rsidR="000B1906">
        <w:rPr>
          <w:rStyle w:val="cosmallcaps"/>
          <w:rFonts w:cs="Times New Roman"/>
          <w:smallCaps/>
          <w:szCs w:val="18"/>
          <w:bdr w:val="none" w:sz="0" w:space="0" w:color="auto" w:frame="1"/>
          <w:shd w:val="clear" w:color="auto" w:fill="FFFFFF"/>
        </w:rPr>
        <w:t>’</w:t>
      </w:r>
      <w:r w:rsidR="00842C02" w:rsidRPr="00642002">
        <w:rPr>
          <w:rStyle w:val="cosmallcaps"/>
          <w:rFonts w:cs="Times New Roman"/>
          <w:smallCaps/>
          <w:szCs w:val="18"/>
          <w:bdr w:val="none" w:sz="0" w:space="0" w:color="auto" w:frame="1"/>
          <w:shd w:val="clear" w:color="auto" w:fill="FFFFFF"/>
        </w:rPr>
        <w:t>y</w:t>
      </w:r>
      <w:r w:rsidR="00F331B5" w:rsidRPr="00642002">
        <w:rPr>
          <w:rStyle w:val="cosmallcaps"/>
          <w:rFonts w:cs="Times New Roman"/>
          <w:smallCaps/>
          <w:szCs w:val="18"/>
          <w:bdr w:val="none" w:sz="0" w:space="0" w:color="auto" w:frame="1"/>
          <w:shd w:val="clear" w:color="auto" w:fill="FFFFFF"/>
        </w:rPr>
        <w:t xml:space="preserve"> Studies</w:t>
      </w:r>
      <w:r w:rsidR="00B37E8B" w:rsidRPr="00642002">
        <w:rPr>
          <w:rStyle w:val="cosmallcaps"/>
          <w:rFonts w:cs="Times New Roman"/>
          <w:smallCaps/>
          <w:szCs w:val="18"/>
          <w:bdr w:val="none" w:sz="0" w:space="0" w:color="auto" w:frame="1"/>
          <w:shd w:val="clear" w:color="auto" w:fill="FFFFFF"/>
        </w:rPr>
        <w:t xml:space="preserve"> </w:t>
      </w:r>
      <w:r w:rsidR="00842C02" w:rsidRPr="00642002">
        <w:rPr>
          <w:rFonts w:cs="Times New Roman"/>
          <w:szCs w:val="18"/>
        </w:rPr>
        <w:t xml:space="preserve">(2017), </w:t>
      </w:r>
      <w:r w:rsidR="00561CAB" w:rsidRPr="00642002">
        <w:t>https://www.phoenix-center.org/perspectives/Perspective17-02Final.pdf</w:t>
      </w:r>
      <w:r w:rsidR="00561CAB" w:rsidRPr="00642002">
        <w:rPr>
          <w:rFonts w:cs="Times New Roman"/>
          <w:szCs w:val="18"/>
        </w:rPr>
        <w:t xml:space="preserve"> </w:t>
      </w:r>
      <w:r w:rsidR="00842C02" w:rsidRPr="00642002">
        <w:rPr>
          <w:rFonts w:cs="Times New Roman"/>
          <w:szCs w:val="18"/>
        </w:rPr>
        <w:t xml:space="preserve">[https://perma.cc/DKW2-594X] (subsequently published as </w:t>
      </w:r>
      <w:r w:rsidR="00233126" w:rsidRPr="00642002">
        <w:rPr>
          <w:rFonts w:cs="Times New Roman"/>
          <w:szCs w:val="18"/>
        </w:rPr>
        <w:t xml:space="preserve">George S. Ford, </w:t>
      </w:r>
      <w:r w:rsidR="00842C02" w:rsidRPr="00642002">
        <w:rPr>
          <w:rStyle w:val="Emphasis"/>
          <w:rFonts w:cs="Times New Roman"/>
          <w:szCs w:val="18"/>
          <w:bdr w:val="none" w:sz="0" w:space="0" w:color="auto" w:frame="1"/>
        </w:rPr>
        <w:t>Regulation and Investment in the U.S. Telecommunications Industry</w:t>
      </w:r>
      <w:r w:rsidR="00842C02" w:rsidRPr="00642002">
        <w:rPr>
          <w:rFonts w:cs="Times New Roman"/>
          <w:szCs w:val="18"/>
        </w:rPr>
        <w:t xml:space="preserve">, 50 </w:t>
      </w:r>
      <w:r w:rsidR="00842C02" w:rsidRPr="00642002">
        <w:rPr>
          <w:rStyle w:val="cosmallcaps"/>
          <w:rFonts w:cs="Times New Roman"/>
          <w:smallCaps/>
          <w:szCs w:val="18"/>
          <w:bdr w:val="none" w:sz="0" w:space="0" w:color="auto" w:frame="1"/>
          <w:shd w:val="clear" w:color="auto" w:fill="FFFFFF"/>
        </w:rPr>
        <w:t>Applied Econs.</w:t>
      </w:r>
      <w:r w:rsidR="00842C02" w:rsidRPr="00642002">
        <w:rPr>
          <w:rFonts w:cs="Times New Roman"/>
          <w:szCs w:val="18"/>
        </w:rPr>
        <w:t xml:space="preserve"> 6073</w:t>
      </w:r>
      <w:r w:rsidR="00233126" w:rsidRPr="00642002">
        <w:rPr>
          <w:rFonts w:cs="Times New Roman"/>
          <w:szCs w:val="18"/>
        </w:rPr>
        <w:t>, 6082</w:t>
      </w:r>
      <w:r w:rsidR="00842C02" w:rsidRPr="00642002">
        <w:rPr>
          <w:rFonts w:cs="Times New Roman"/>
          <w:szCs w:val="18"/>
        </w:rPr>
        <w:t xml:space="preserve"> (2018))</w:t>
      </w:r>
      <w:r w:rsidR="00275492" w:rsidRPr="00642002">
        <w:rPr>
          <w:rFonts w:cs="Times New Roman"/>
          <w:szCs w:val="18"/>
        </w:rPr>
        <w:t>.</w:t>
      </w:r>
    </w:p>
  </w:footnote>
  <w:footnote w:id="36">
    <w:p w14:paraId="4CEC8088" w14:textId="46D19A71" w:rsidR="00842C02"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CD010F" w:rsidRPr="00642002">
        <w:rPr>
          <w:rFonts w:cs="Times New Roman"/>
          <w:i/>
          <w:iCs/>
          <w:szCs w:val="18"/>
        </w:rPr>
        <w:t>Restoring Internet Freedom</w:t>
      </w:r>
      <w:r w:rsidR="00CD010F" w:rsidRPr="00642002">
        <w:rPr>
          <w:rFonts w:cs="Times New Roman"/>
          <w:szCs w:val="18"/>
        </w:rPr>
        <w:t xml:space="preserve"> </w:t>
      </w:r>
      <w:r w:rsidR="00CD010F" w:rsidRPr="00642002">
        <w:rPr>
          <w:rFonts w:cs="Times New Roman"/>
          <w:i/>
          <w:iCs/>
          <w:szCs w:val="18"/>
        </w:rPr>
        <w:t>Declaratory Ruling</w:t>
      </w:r>
      <w:r w:rsidR="00CD010F" w:rsidRPr="00642002">
        <w:rPr>
          <w:rStyle w:val="Emphasis"/>
          <w:rFonts w:cs="Times New Roman"/>
          <w:i w:val="0"/>
          <w:iCs w:val="0"/>
          <w:szCs w:val="18"/>
          <w:bdr w:val="none" w:sz="0" w:space="0" w:color="auto" w:frame="1"/>
        </w:rPr>
        <w:t>,</w:t>
      </w:r>
      <w:r w:rsidR="00CD010F" w:rsidRPr="00642002">
        <w:rPr>
          <w:rStyle w:val="Emphasis"/>
          <w:rFonts w:cs="Times New Roman"/>
          <w:szCs w:val="18"/>
          <w:bdr w:val="none" w:sz="0" w:space="0" w:color="auto" w:frame="1"/>
        </w:rPr>
        <w:t xml:space="preserve"> </w:t>
      </w:r>
      <w:r w:rsidR="00CD010F" w:rsidRPr="00642002">
        <w:rPr>
          <w:rStyle w:val="Emphasis"/>
          <w:rFonts w:cs="Times New Roman"/>
          <w:i w:val="0"/>
          <w:iCs w:val="0"/>
          <w:szCs w:val="18"/>
          <w:bdr w:val="none" w:sz="0" w:space="0" w:color="auto" w:frame="1"/>
        </w:rPr>
        <w:t xml:space="preserve">at </w:t>
      </w:r>
      <w:r w:rsidR="00842C02" w:rsidRPr="00642002">
        <w:rPr>
          <w:rFonts w:cs="Times New Roman"/>
          <w:szCs w:val="18"/>
        </w:rPr>
        <w:t>paras. 95</w:t>
      </w:r>
      <w:r w:rsidR="00F02622" w:rsidRPr="00642002">
        <w:rPr>
          <w:rFonts w:cs="Times New Roman"/>
          <w:szCs w:val="18"/>
        </w:rPr>
        <w:t>-</w:t>
      </w:r>
      <w:r w:rsidR="00842C02" w:rsidRPr="00642002">
        <w:rPr>
          <w:rFonts w:cs="Times New Roman"/>
          <w:szCs w:val="18"/>
        </w:rPr>
        <w:t xml:space="preserve">98, </w:t>
      </w:r>
      <w:r w:rsidR="00842C02" w:rsidRPr="00642002">
        <w:rPr>
          <w:rStyle w:val="Emphasis"/>
          <w:rFonts w:cs="Times New Roman"/>
          <w:szCs w:val="18"/>
          <w:bdr w:val="none" w:sz="0" w:space="0" w:color="auto" w:frame="1"/>
        </w:rPr>
        <w:t>aff</w:t>
      </w:r>
      <w:r w:rsidR="000B1906">
        <w:rPr>
          <w:rStyle w:val="Emphasis"/>
          <w:rFonts w:cs="Times New Roman"/>
          <w:szCs w:val="18"/>
          <w:bdr w:val="none" w:sz="0" w:space="0" w:color="auto" w:frame="1"/>
        </w:rPr>
        <w:t>’</w:t>
      </w:r>
      <w:r w:rsidR="00842C02" w:rsidRPr="00642002">
        <w:rPr>
          <w:rStyle w:val="Emphasis"/>
          <w:rFonts w:cs="Times New Roman"/>
          <w:szCs w:val="18"/>
          <w:bdr w:val="none" w:sz="0" w:space="0" w:color="auto" w:frame="1"/>
        </w:rPr>
        <w:t>d by, in part, vac</w:t>
      </w:r>
      <w:r w:rsidR="000B1906">
        <w:rPr>
          <w:rStyle w:val="Emphasis"/>
          <w:rFonts w:cs="Times New Roman"/>
          <w:szCs w:val="18"/>
          <w:bdr w:val="none" w:sz="0" w:space="0" w:color="auto" w:frame="1"/>
        </w:rPr>
        <w:t>’</w:t>
      </w:r>
      <w:r w:rsidR="00842C02" w:rsidRPr="00642002">
        <w:rPr>
          <w:rStyle w:val="Emphasis"/>
          <w:rFonts w:cs="Times New Roman"/>
          <w:szCs w:val="18"/>
          <w:bdr w:val="none" w:sz="0" w:space="0" w:color="auto" w:frame="1"/>
        </w:rPr>
        <w:t>d by, in part, rem</w:t>
      </w:r>
      <w:r w:rsidR="000B1906">
        <w:rPr>
          <w:rStyle w:val="Emphasis"/>
          <w:rFonts w:cs="Times New Roman"/>
          <w:szCs w:val="18"/>
          <w:bdr w:val="none" w:sz="0" w:space="0" w:color="auto" w:frame="1"/>
        </w:rPr>
        <w:t>’</w:t>
      </w:r>
      <w:r w:rsidR="00842C02" w:rsidRPr="00642002">
        <w:rPr>
          <w:rStyle w:val="Emphasis"/>
          <w:rFonts w:cs="Times New Roman"/>
          <w:szCs w:val="18"/>
          <w:bdr w:val="none" w:sz="0" w:space="0" w:color="auto" w:frame="1"/>
        </w:rPr>
        <w:t>d by</w:t>
      </w:r>
      <w:r w:rsidR="00842C02" w:rsidRPr="00642002">
        <w:rPr>
          <w:rFonts w:cs="Times New Roman"/>
          <w:szCs w:val="18"/>
        </w:rPr>
        <w:t xml:space="preserve"> Mozilla Corp. v. FCC, 940 F.3d 1 (D.C. Cir. 2019) (</w:t>
      </w:r>
      <w:r w:rsidR="00842C02" w:rsidRPr="00642002">
        <w:rPr>
          <w:rStyle w:val="Emphasis"/>
          <w:rFonts w:cs="Times New Roman"/>
          <w:szCs w:val="18"/>
          <w:bdr w:val="none" w:sz="0" w:space="0" w:color="auto" w:frame="1"/>
        </w:rPr>
        <w:t>citing</w:t>
      </w:r>
      <w:r w:rsidR="00842C02" w:rsidRPr="00642002">
        <w:rPr>
          <w:rFonts w:cs="Times New Roman"/>
          <w:szCs w:val="18"/>
        </w:rPr>
        <w:t xml:space="preserve"> Ford, </w:t>
      </w:r>
      <w:r w:rsidR="00842C02" w:rsidRPr="00642002">
        <w:rPr>
          <w:rStyle w:val="Emphasis"/>
          <w:rFonts w:cs="Times New Roman"/>
          <w:szCs w:val="18"/>
          <w:bdr w:val="none" w:sz="0" w:space="0" w:color="auto" w:frame="1"/>
        </w:rPr>
        <w:t>Net Neutrality, Reclassification and Investment</w:t>
      </w:r>
      <w:r w:rsidR="006C4A01" w:rsidRPr="00642002">
        <w:rPr>
          <w:rStyle w:val="Emphasis"/>
          <w:rFonts w:cs="Times New Roman"/>
          <w:i w:val="0"/>
          <w:iCs w:val="0"/>
          <w:szCs w:val="18"/>
          <w:bdr w:val="none" w:sz="0" w:space="0" w:color="auto" w:frame="1"/>
        </w:rPr>
        <w:t>,</w:t>
      </w:r>
      <w:r w:rsidR="006C4A01" w:rsidRPr="00642002">
        <w:rPr>
          <w:rStyle w:val="Emphasis"/>
          <w:rFonts w:cs="Times New Roman"/>
          <w:szCs w:val="18"/>
          <w:bdr w:val="none" w:sz="0" w:space="0" w:color="auto" w:frame="1"/>
        </w:rPr>
        <w:t xml:space="preserve"> supra </w:t>
      </w:r>
      <w:r w:rsidR="006C4A01" w:rsidRPr="00642002">
        <w:rPr>
          <w:rStyle w:val="Emphasis"/>
          <w:rFonts w:cs="Times New Roman"/>
          <w:i w:val="0"/>
          <w:iCs w:val="0"/>
          <w:szCs w:val="18"/>
          <w:bdr w:val="none" w:sz="0" w:space="0" w:color="auto" w:frame="1"/>
        </w:rPr>
        <w:t>note 3</w:t>
      </w:r>
      <w:r w:rsidR="000D215A">
        <w:rPr>
          <w:rStyle w:val="Emphasis"/>
          <w:rFonts w:cs="Times New Roman"/>
          <w:i w:val="0"/>
          <w:iCs w:val="0"/>
          <w:szCs w:val="18"/>
          <w:bdr w:val="none" w:sz="0" w:space="0" w:color="auto" w:frame="1"/>
        </w:rPr>
        <w:t>4</w:t>
      </w:r>
      <w:r w:rsidR="006C4A01" w:rsidRPr="00642002">
        <w:rPr>
          <w:rStyle w:val="Emphasis"/>
          <w:rFonts w:cs="Times New Roman"/>
          <w:i w:val="0"/>
          <w:iCs w:val="0"/>
          <w:szCs w:val="18"/>
          <w:bdr w:val="none" w:sz="0" w:space="0" w:color="auto" w:frame="1"/>
        </w:rPr>
        <w:t>).</w:t>
      </w:r>
    </w:p>
  </w:footnote>
  <w:footnote w:id="37">
    <w:p w14:paraId="5080C736" w14:textId="7B0DE2B5" w:rsidR="00071F1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3038BB31" w:rsidRPr="00642002">
        <w:rPr>
          <w:rFonts w:cs="Times New Roman"/>
          <w:i/>
          <w:iCs/>
          <w:szCs w:val="18"/>
        </w:rPr>
        <w:t xml:space="preserve">Regulatory Implications, </w:t>
      </w:r>
      <w:r w:rsidR="000E6EF6" w:rsidRPr="00642002">
        <w:rPr>
          <w:rFonts w:cs="Times New Roman"/>
          <w:i/>
          <w:iCs/>
          <w:szCs w:val="18"/>
        </w:rPr>
        <w:t xml:space="preserve">supra </w:t>
      </w:r>
      <w:r w:rsidR="000E6EF6" w:rsidRPr="00642002">
        <w:rPr>
          <w:rFonts w:cs="Times New Roman"/>
          <w:szCs w:val="18"/>
        </w:rPr>
        <w:t>note 1,</w:t>
      </w:r>
      <w:r w:rsidR="3038BB31" w:rsidRPr="00642002">
        <w:rPr>
          <w:rFonts w:cs="Times New Roman"/>
          <w:szCs w:val="18"/>
        </w:rPr>
        <w:t xml:space="preserve"> at </w:t>
      </w:r>
      <w:r w:rsidR="00F02622" w:rsidRPr="00642002">
        <w:rPr>
          <w:rFonts w:cs="Times New Roman"/>
          <w:szCs w:val="18"/>
        </w:rPr>
        <w:t>14</w:t>
      </w:r>
      <w:r w:rsidR="00135531" w:rsidRPr="00642002">
        <w:rPr>
          <w:rFonts w:cs="Times New Roman"/>
          <w:szCs w:val="18"/>
        </w:rPr>
        <w:t xml:space="preserve"> (</w:t>
      </w:r>
      <w:r w:rsidR="3038BB31" w:rsidRPr="00642002">
        <w:rPr>
          <w:rFonts w:cs="Times New Roman"/>
          <w:szCs w:val="18"/>
        </w:rPr>
        <w:t>Discussing Protecting and Promoting the Open Internet</w:t>
      </w:r>
      <w:r w:rsidR="3038BB31" w:rsidRPr="00642002">
        <w:rPr>
          <w:rStyle w:val="FootnoteReference"/>
          <w:rFonts w:cs="Times New Roman"/>
          <w:szCs w:val="18"/>
          <w:vertAlign w:val="baseline"/>
        </w:rPr>
        <w:t xml:space="preserve">, </w:t>
      </w:r>
      <w:r w:rsidR="000625AB" w:rsidRPr="00642002">
        <w:rPr>
          <w:rFonts w:cs="Times New Roman"/>
          <w:i/>
          <w:iCs/>
          <w:szCs w:val="18"/>
        </w:rPr>
        <w:t>Final Rule</w:t>
      </w:r>
      <w:r w:rsidR="000625AB" w:rsidRPr="00642002">
        <w:rPr>
          <w:rFonts w:cs="Times New Roman"/>
          <w:szCs w:val="18"/>
        </w:rPr>
        <w:t>,</w:t>
      </w:r>
      <w:r w:rsidR="000625AB" w:rsidRPr="00642002">
        <w:rPr>
          <w:rFonts w:cs="Times New Roman"/>
          <w:i/>
          <w:iCs/>
          <w:szCs w:val="18"/>
        </w:rPr>
        <w:t xml:space="preserve"> </w:t>
      </w:r>
      <w:r w:rsidR="3038BB31" w:rsidRPr="00642002">
        <w:rPr>
          <w:rStyle w:val="FootnoteReference"/>
          <w:rFonts w:cs="Times New Roman"/>
          <w:szCs w:val="18"/>
          <w:vertAlign w:val="baseline"/>
        </w:rPr>
        <w:t>30 FCC Rcd. 5601, 5604 ¶ 6 (2015)</w:t>
      </w:r>
      <w:r w:rsidR="00135531" w:rsidRPr="00642002">
        <w:rPr>
          <w:rStyle w:val="FootnoteReference"/>
          <w:rFonts w:cs="Times New Roman"/>
          <w:szCs w:val="18"/>
          <w:vertAlign w:val="baseline"/>
        </w:rPr>
        <w:t>)</w:t>
      </w:r>
      <w:r w:rsidR="3038BB31" w:rsidRPr="00642002">
        <w:rPr>
          <w:rStyle w:val="FootnoteReference"/>
          <w:rFonts w:cs="Times New Roman"/>
          <w:szCs w:val="18"/>
          <w:vertAlign w:val="baseline"/>
        </w:rPr>
        <w:t>.</w:t>
      </w:r>
      <w:r w:rsidRPr="00642002">
        <w:rPr>
          <w:rStyle w:val="FootnoteReference"/>
          <w:rFonts w:cs="Times New Roman"/>
          <w:szCs w:val="18"/>
          <w:vertAlign w:val="baseline"/>
        </w:rPr>
        <w:t xml:space="preserve"> </w:t>
      </w:r>
    </w:p>
  </w:footnote>
  <w:footnote w:id="38">
    <w:p w14:paraId="75976A18" w14:textId="6E8B328B" w:rsidR="00071F1B"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071F1B" w:rsidRPr="00642002">
        <w:rPr>
          <w:rFonts w:cs="Times New Roman"/>
          <w:szCs w:val="18"/>
          <w:shd w:val="clear" w:color="auto" w:fill="FFFFFF"/>
        </w:rPr>
        <w:t xml:space="preserve">Ford, </w:t>
      </w:r>
      <w:r w:rsidR="00F874C2" w:rsidRPr="00642002">
        <w:rPr>
          <w:rFonts w:cs="Times New Roman"/>
          <w:i/>
          <w:iCs/>
          <w:szCs w:val="18"/>
          <w:shd w:val="clear" w:color="auto" w:fill="FFFFFF"/>
        </w:rPr>
        <w:t>supra</w:t>
      </w:r>
      <w:r w:rsidR="00F874C2" w:rsidRPr="00642002">
        <w:rPr>
          <w:rFonts w:cs="Times New Roman"/>
          <w:szCs w:val="18"/>
          <w:shd w:val="clear" w:color="auto" w:fill="FFFFFF"/>
        </w:rPr>
        <w:t xml:space="preserve"> note 3</w:t>
      </w:r>
      <w:r w:rsidR="000D215A">
        <w:rPr>
          <w:rFonts w:cs="Times New Roman"/>
          <w:szCs w:val="18"/>
          <w:shd w:val="clear" w:color="auto" w:fill="FFFFFF"/>
        </w:rPr>
        <w:t>4</w:t>
      </w:r>
      <w:r w:rsidR="00F874C2" w:rsidRPr="00642002">
        <w:rPr>
          <w:rFonts w:cs="Times New Roman"/>
          <w:szCs w:val="18"/>
          <w:shd w:val="clear" w:color="auto" w:fill="FFFFFF"/>
        </w:rPr>
        <w:t>, at</w:t>
      </w:r>
      <w:r w:rsidR="00071F1B" w:rsidRPr="00642002">
        <w:rPr>
          <w:rFonts w:cs="Times New Roman"/>
          <w:szCs w:val="18"/>
          <w:shd w:val="clear" w:color="auto" w:fill="FFFFFF"/>
        </w:rPr>
        <w:t xml:space="preserve"> </w:t>
      </w:r>
      <w:r w:rsidR="00A5526E" w:rsidRPr="00642002">
        <w:rPr>
          <w:rFonts w:cs="Times New Roman"/>
          <w:szCs w:val="18"/>
          <w:shd w:val="clear" w:color="auto" w:fill="FFFFFF"/>
        </w:rPr>
        <w:t>6073-84</w:t>
      </w:r>
      <w:r w:rsidR="00071F1B" w:rsidRPr="00642002">
        <w:rPr>
          <w:rFonts w:cs="Times New Roman"/>
          <w:szCs w:val="18"/>
          <w:shd w:val="clear" w:color="auto" w:fill="FFFFFF"/>
        </w:rPr>
        <w:t>.</w:t>
      </w:r>
    </w:p>
  </w:footnote>
  <w:footnote w:id="39">
    <w:p w14:paraId="7F13C818" w14:textId="0B0EFAF2" w:rsidR="00FA0359"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053737" w:rsidRPr="00642002">
        <w:rPr>
          <w:rFonts w:cs="Times New Roman"/>
          <w:szCs w:val="18"/>
          <w:bdr w:val="none" w:sz="0" w:space="0" w:color="auto" w:frame="1"/>
        </w:rPr>
        <w:t>Missouri</w:t>
      </w:r>
      <w:r w:rsidR="00FA0359" w:rsidRPr="00642002">
        <w:rPr>
          <w:rFonts w:cs="Times New Roman"/>
          <w:szCs w:val="18"/>
          <w:bdr w:val="none" w:sz="0" w:space="0" w:color="auto" w:frame="1"/>
        </w:rPr>
        <w:t xml:space="preserve"> v. Biden</w:t>
      </w:r>
      <w:r w:rsidR="00FA0359" w:rsidRPr="00642002">
        <w:rPr>
          <w:rFonts w:cs="Times New Roman"/>
          <w:szCs w:val="18"/>
        </w:rPr>
        <w:t>, 80 F.4th 641, 657 (5th Cir.</w:t>
      </w:r>
      <w:r w:rsidR="0019446A" w:rsidRPr="00642002">
        <w:rPr>
          <w:rFonts w:cs="Times New Roman"/>
          <w:szCs w:val="18"/>
        </w:rPr>
        <w:t xml:space="preserve"> 2023</w:t>
      </w:r>
      <w:r w:rsidR="00FA0359" w:rsidRPr="00642002">
        <w:rPr>
          <w:rFonts w:cs="Times New Roman"/>
          <w:szCs w:val="18"/>
        </w:rPr>
        <w:t xml:space="preserve">), </w:t>
      </w:r>
      <w:r w:rsidR="00FA0359" w:rsidRPr="00642002">
        <w:rPr>
          <w:rFonts w:cs="Times New Roman"/>
          <w:i/>
          <w:iCs/>
          <w:szCs w:val="18"/>
          <w:bdr w:val="none" w:sz="0" w:space="0" w:color="auto" w:frame="1"/>
        </w:rPr>
        <w:t>opinion withdrawn and superseded on reh</w:t>
      </w:r>
      <w:r w:rsidR="000B1906">
        <w:rPr>
          <w:rFonts w:cs="Times New Roman"/>
          <w:i/>
          <w:iCs/>
          <w:szCs w:val="18"/>
          <w:bdr w:val="none" w:sz="0" w:space="0" w:color="auto" w:frame="1"/>
        </w:rPr>
        <w:t>’</w:t>
      </w:r>
      <w:r w:rsidR="00FA0359" w:rsidRPr="00642002">
        <w:rPr>
          <w:rFonts w:cs="Times New Roman"/>
          <w:i/>
          <w:iCs/>
          <w:szCs w:val="18"/>
          <w:bdr w:val="none" w:sz="0" w:space="0" w:color="auto" w:frame="1"/>
        </w:rPr>
        <w:t>g</w:t>
      </w:r>
      <w:r w:rsidR="00FA0359" w:rsidRPr="00642002">
        <w:rPr>
          <w:rFonts w:cs="Times New Roman"/>
          <w:szCs w:val="18"/>
          <w:bdr w:val="none" w:sz="0" w:space="0" w:color="auto" w:frame="1"/>
        </w:rPr>
        <w:t>,</w:t>
      </w:r>
      <w:r w:rsidR="00FA0359" w:rsidRPr="00642002">
        <w:rPr>
          <w:rFonts w:cs="Times New Roman"/>
          <w:szCs w:val="18"/>
        </w:rPr>
        <w:t xml:space="preserve"> 83 F.4th 350 (5th Cir. 2023), </w:t>
      </w:r>
      <w:r w:rsidR="00FA0359" w:rsidRPr="00642002">
        <w:rPr>
          <w:rFonts w:cs="Times New Roman"/>
          <w:i/>
          <w:iCs/>
          <w:szCs w:val="18"/>
          <w:bdr w:val="none" w:sz="0" w:space="0" w:color="auto" w:frame="1"/>
        </w:rPr>
        <w:t>cert. granted sub nom.</w:t>
      </w:r>
      <w:r w:rsidR="00FA0359" w:rsidRPr="00642002">
        <w:rPr>
          <w:rFonts w:cs="Times New Roman"/>
          <w:szCs w:val="18"/>
        </w:rPr>
        <w:t xml:space="preserve"> </w:t>
      </w:r>
      <w:r w:rsidR="00FA0359" w:rsidRPr="00642002">
        <w:rPr>
          <w:rFonts w:cs="Times New Roman"/>
          <w:szCs w:val="18"/>
          <w:bdr w:val="none" w:sz="0" w:space="0" w:color="auto" w:frame="1"/>
        </w:rPr>
        <w:t>Murthy v. Missouri</w:t>
      </w:r>
      <w:r w:rsidR="00FA0359" w:rsidRPr="00642002">
        <w:rPr>
          <w:rFonts w:cs="Times New Roman"/>
          <w:szCs w:val="18"/>
        </w:rPr>
        <w:t>, 144 S. Ct. 7 (2023)</w:t>
      </w:r>
      <w:r w:rsidR="00F07980" w:rsidRPr="00642002">
        <w:rPr>
          <w:rFonts w:cs="Times New Roman"/>
          <w:szCs w:val="18"/>
        </w:rPr>
        <w:t xml:space="preserve"> </w:t>
      </w:r>
      <w:r w:rsidR="00FA0359" w:rsidRPr="00642002">
        <w:rPr>
          <w:rFonts w:cs="Times New Roman"/>
          <w:szCs w:val="18"/>
        </w:rPr>
        <w:t>(</w:t>
      </w:r>
      <w:r w:rsidR="000B1906">
        <w:rPr>
          <w:rFonts w:cs="Times New Roman"/>
          <w:szCs w:val="18"/>
        </w:rPr>
        <w:t>“</w:t>
      </w:r>
      <w:r w:rsidR="00FA0359" w:rsidRPr="00642002">
        <w:rPr>
          <w:rFonts w:eastAsiaTheme="minorHAnsi" w:cs="Times New Roman"/>
          <w:szCs w:val="18"/>
          <w14:ligatures w14:val="standardContextual"/>
        </w:rPr>
        <w:t xml:space="preserve">Relying on the above record, the district court concluded that the officials, via both private and public channels, asked the platforms to remove content, pressed them to change their moderation policies, and threatened them—directly and indirectly—with legal consequences if they did not comply. And, it worked—that </w:t>
      </w:r>
      <w:r w:rsidR="000B1906">
        <w:rPr>
          <w:rFonts w:eastAsiaTheme="minorHAnsi" w:cs="Times New Roman"/>
          <w:szCs w:val="18"/>
          <w14:ligatures w14:val="standardContextual"/>
        </w:rPr>
        <w:t>‘</w:t>
      </w:r>
      <w:r w:rsidR="00FA0359" w:rsidRPr="00642002">
        <w:rPr>
          <w:rFonts w:eastAsiaTheme="minorHAnsi" w:cs="Times New Roman"/>
          <w:szCs w:val="18"/>
          <w14:ligatures w14:val="standardContextual"/>
        </w:rPr>
        <w:t>unrelenting pressure</w:t>
      </w:r>
      <w:r w:rsidR="000B1906">
        <w:rPr>
          <w:rFonts w:eastAsiaTheme="minorHAnsi" w:cs="Times New Roman"/>
          <w:szCs w:val="18"/>
          <w14:ligatures w14:val="standardContextual"/>
        </w:rPr>
        <w:t>’</w:t>
      </w:r>
      <w:r w:rsidR="00FA0359" w:rsidRPr="00642002">
        <w:rPr>
          <w:rFonts w:eastAsiaTheme="minorHAnsi" w:cs="Times New Roman"/>
          <w:szCs w:val="18"/>
          <w14:ligatures w14:val="standardContextual"/>
        </w:rPr>
        <w:t xml:space="preserve"> forced the platforms to act and take down users</w:t>
      </w:r>
      <w:r w:rsidR="000B1906">
        <w:rPr>
          <w:rFonts w:eastAsiaTheme="minorHAnsi" w:cs="Times New Roman"/>
          <w:szCs w:val="18"/>
          <w14:ligatures w14:val="standardContextual"/>
        </w:rPr>
        <w:t>’</w:t>
      </w:r>
      <w:r w:rsidR="00FA0359" w:rsidRPr="00642002">
        <w:rPr>
          <w:rFonts w:eastAsiaTheme="minorHAnsi" w:cs="Times New Roman"/>
          <w:szCs w:val="18"/>
          <w14:ligatures w14:val="standardContextual"/>
        </w:rPr>
        <w:t xml:space="preserve"> content.</w:t>
      </w:r>
      <w:r w:rsidR="000B1906">
        <w:rPr>
          <w:rFonts w:eastAsiaTheme="minorHAnsi" w:cs="Times New Roman"/>
          <w:szCs w:val="18"/>
          <w14:ligatures w14:val="standardContextual"/>
        </w:rPr>
        <w:t>”</w:t>
      </w:r>
      <w:r w:rsidR="00FA0359" w:rsidRPr="00642002">
        <w:rPr>
          <w:rFonts w:eastAsiaTheme="minorHAnsi" w:cs="Times New Roman"/>
          <w:szCs w:val="18"/>
          <w14:ligatures w14:val="standardContextual"/>
        </w:rPr>
        <w:t>).</w:t>
      </w:r>
    </w:p>
  </w:footnote>
  <w:footnote w:id="40">
    <w:p w14:paraId="5731B6C9" w14:textId="42B383BD" w:rsidR="000B0FD8" w:rsidRPr="00642002" w:rsidRDefault="00C96280" w:rsidP="001179A4">
      <w:pPr>
        <w:pStyle w:val="FootnoteText"/>
        <w:jc w:val="both"/>
        <w:rPr>
          <w:rFonts w:cs="Times New Roman"/>
          <w:szCs w:val="18"/>
        </w:rPr>
      </w:pPr>
      <w:r w:rsidRPr="00642002">
        <w:rPr>
          <w:rStyle w:val="FootnoteReference"/>
          <w:rFonts w:cs="Times New Roman"/>
          <w:szCs w:val="18"/>
          <w:vertAlign w:val="baseline"/>
        </w:rPr>
        <w:t xml:space="preserve"> </w:t>
      </w:r>
      <w:r w:rsidRPr="00642002">
        <w:rPr>
          <w:rStyle w:val="FootnoteReference"/>
          <w:rFonts w:cs="Times New Roman"/>
          <w:szCs w:val="18"/>
          <w:vertAlign w:val="baseline"/>
        </w:rPr>
        <w:footnoteRef/>
      </w:r>
      <w:r w:rsidRPr="00642002">
        <w:rPr>
          <w:rStyle w:val="FootnoteReference"/>
          <w:rFonts w:cs="Times New Roman"/>
          <w:szCs w:val="18"/>
          <w:vertAlign w:val="baseline"/>
        </w:rPr>
        <w:t>.</w:t>
      </w:r>
      <w:r w:rsidRPr="00642002">
        <w:rPr>
          <w:rStyle w:val="FootnoteReference"/>
          <w:rFonts w:cs="Times New Roman"/>
          <w:szCs w:val="18"/>
          <w:vertAlign w:val="baseline"/>
        </w:rPr>
        <w:tab/>
      </w:r>
      <w:r w:rsidR="000B0FD8" w:rsidRPr="00642002">
        <w:rPr>
          <w:rFonts w:cs="Times New Roman"/>
          <w:i/>
          <w:iCs/>
          <w:szCs w:val="18"/>
          <w:bdr w:val="none" w:sz="0" w:space="0" w:color="auto" w:frame="1"/>
        </w:rPr>
        <w:t>Bargaining for Free Speech</w:t>
      </w:r>
      <w:r w:rsidR="00436381" w:rsidRPr="00642002">
        <w:rPr>
          <w:rFonts w:cs="Times New Roman"/>
          <w:szCs w:val="18"/>
          <w:bdr w:val="none" w:sz="0" w:space="0" w:color="auto" w:frame="1"/>
        </w:rPr>
        <w:t>,</w:t>
      </w:r>
      <w:r w:rsidR="00436381" w:rsidRPr="00642002">
        <w:rPr>
          <w:rFonts w:cs="Times New Roman"/>
          <w:i/>
          <w:iCs/>
          <w:szCs w:val="18"/>
          <w:bdr w:val="none" w:sz="0" w:space="0" w:color="auto" w:frame="1"/>
        </w:rPr>
        <w:t xml:space="preserve"> supra </w:t>
      </w:r>
      <w:r w:rsidR="00436381" w:rsidRPr="00642002">
        <w:rPr>
          <w:rFonts w:cs="Times New Roman"/>
          <w:szCs w:val="18"/>
          <w:bdr w:val="none" w:sz="0" w:space="0" w:color="auto" w:frame="1"/>
        </w:rPr>
        <w:t>note 2, at</w:t>
      </w:r>
      <w:r w:rsidR="000B0FD8" w:rsidRPr="00642002">
        <w:rPr>
          <w:rFonts w:cs="Times New Roman"/>
          <w:szCs w:val="18"/>
        </w:rPr>
        <w:t xml:space="preserve"> 432</w:t>
      </w:r>
      <w:r w:rsidR="00436381" w:rsidRPr="00642002">
        <w:rPr>
          <w:rFonts w:cs="Times New Roma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696510488"/>
      <w:docPartObj>
        <w:docPartGallery w:val="Page Numbers (Top of Page)"/>
        <w:docPartUnique/>
      </w:docPartObj>
    </w:sdtPr>
    <w:sdtContent>
      <w:p w14:paraId="605A1C70" w14:textId="0F03BE9A" w:rsidR="0078292B" w:rsidRPr="0078292B" w:rsidRDefault="0078292B" w:rsidP="00AA1D61">
        <w:pPr>
          <w:pStyle w:val="Header"/>
          <w:framePr w:wrap="none" w:vAnchor="text" w:hAnchor="margin" w:xAlign="outside" w:y="1"/>
          <w:rPr>
            <w:rStyle w:val="PageNumber"/>
            <w:sz w:val="22"/>
            <w:szCs w:val="22"/>
          </w:rPr>
        </w:pPr>
        <w:r w:rsidRPr="0078292B">
          <w:rPr>
            <w:rStyle w:val="PageNumber"/>
            <w:sz w:val="22"/>
            <w:szCs w:val="22"/>
          </w:rPr>
          <w:fldChar w:fldCharType="begin"/>
        </w:r>
        <w:r w:rsidRPr="0078292B">
          <w:rPr>
            <w:rStyle w:val="PageNumber"/>
            <w:sz w:val="22"/>
            <w:szCs w:val="22"/>
          </w:rPr>
          <w:instrText xml:space="preserve"> PAGE </w:instrText>
        </w:r>
        <w:r w:rsidRPr="0078292B">
          <w:rPr>
            <w:rStyle w:val="PageNumber"/>
            <w:sz w:val="22"/>
            <w:szCs w:val="22"/>
          </w:rPr>
          <w:fldChar w:fldCharType="separate"/>
        </w:r>
        <w:r w:rsidRPr="0078292B">
          <w:rPr>
            <w:rStyle w:val="PageNumber"/>
            <w:noProof/>
            <w:sz w:val="22"/>
            <w:szCs w:val="22"/>
          </w:rPr>
          <w:t>340</w:t>
        </w:r>
        <w:r w:rsidRPr="0078292B">
          <w:rPr>
            <w:rStyle w:val="PageNumber"/>
            <w:sz w:val="22"/>
            <w:szCs w:val="22"/>
          </w:rPr>
          <w:fldChar w:fldCharType="end"/>
        </w:r>
      </w:p>
    </w:sdtContent>
  </w:sdt>
  <w:p w14:paraId="74D58D7F" w14:textId="5AB0C448" w:rsidR="0005019B" w:rsidRDefault="0078292B" w:rsidP="0078292B">
    <w:pPr>
      <w:pStyle w:val="Header"/>
      <w:tabs>
        <w:tab w:val="clear" w:pos="4680"/>
        <w:tab w:val="clear" w:pos="9360"/>
        <w:tab w:val="center" w:pos="3384"/>
        <w:tab w:val="right" w:pos="6768"/>
      </w:tabs>
      <w:ind w:right="360" w:firstLine="360"/>
      <w:rPr>
        <w:sz w:val="22"/>
        <w:szCs w:val="22"/>
      </w:rPr>
    </w:pPr>
    <w:r>
      <w:rPr>
        <w:sz w:val="22"/>
        <w:szCs w:val="22"/>
      </w:rPr>
      <w:tab/>
    </w:r>
    <w:r w:rsidRPr="0078292B">
      <w:rPr>
        <w:i/>
        <w:iCs/>
        <w:sz w:val="22"/>
        <w:szCs w:val="22"/>
      </w:rPr>
      <w:t>FEDERAL COMMUNICATIONS LAW JOURNAL</w:t>
    </w:r>
    <w:r>
      <w:rPr>
        <w:sz w:val="22"/>
        <w:szCs w:val="22"/>
      </w:rPr>
      <w:tab/>
      <w:t>Vol. 76</w:t>
    </w:r>
  </w:p>
  <w:p w14:paraId="6A5316F3" w14:textId="77777777" w:rsidR="0078292B" w:rsidRPr="0005019B" w:rsidRDefault="0078292B" w:rsidP="0078292B">
    <w:pPr>
      <w:pStyle w:val="Header"/>
      <w:tabs>
        <w:tab w:val="clear" w:pos="4680"/>
        <w:tab w:val="clear" w:pos="9360"/>
        <w:tab w:val="center" w:pos="3384"/>
        <w:tab w:val="right" w:pos="67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4574115"/>
      <w:docPartObj>
        <w:docPartGallery w:val="Page Numbers (Top of Page)"/>
        <w:docPartUnique/>
      </w:docPartObj>
    </w:sdtPr>
    <w:sdtContent>
      <w:p w14:paraId="1DB3C2DC" w14:textId="27FDC1C2" w:rsidR="0078292B" w:rsidRDefault="0078292B" w:rsidP="00AA1D61">
        <w:pPr>
          <w:pStyle w:val="Header"/>
          <w:framePr w:wrap="none" w:vAnchor="text" w:hAnchor="margin" w:xAlign="outside" w:y="1"/>
          <w:rPr>
            <w:rStyle w:val="PageNumber"/>
          </w:rPr>
        </w:pPr>
        <w:r w:rsidRPr="0078292B">
          <w:rPr>
            <w:rStyle w:val="PageNumber"/>
            <w:sz w:val="22"/>
            <w:szCs w:val="22"/>
          </w:rPr>
          <w:fldChar w:fldCharType="begin"/>
        </w:r>
        <w:r w:rsidRPr="0078292B">
          <w:rPr>
            <w:rStyle w:val="PageNumber"/>
            <w:sz w:val="22"/>
            <w:szCs w:val="22"/>
          </w:rPr>
          <w:instrText xml:space="preserve"> PAGE </w:instrText>
        </w:r>
        <w:r w:rsidRPr="0078292B">
          <w:rPr>
            <w:rStyle w:val="PageNumber"/>
            <w:sz w:val="22"/>
            <w:szCs w:val="22"/>
          </w:rPr>
          <w:fldChar w:fldCharType="separate"/>
        </w:r>
        <w:r w:rsidRPr="0078292B">
          <w:rPr>
            <w:rStyle w:val="PageNumber"/>
            <w:noProof/>
            <w:sz w:val="22"/>
            <w:szCs w:val="22"/>
          </w:rPr>
          <w:t>341</w:t>
        </w:r>
        <w:r w:rsidRPr="0078292B">
          <w:rPr>
            <w:rStyle w:val="PageNumber"/>
            <w:sz w:val="22"/>
            <w:szCs w:val="22"/>
          </w:rPr>
          <w:fldChar w:fldCharType="end"/>
        </w:r>
      </w:p>
    </w:sdtContent>
  </w:sdt>
  <w:p w14:paraId="07E6185C" w14:textId="154BB696" w:rsidR="0005019B" w:rsidRDefault="0078292B" w:rsidP="0078292B">
    <w:pPr>
      <w:pStyle w:val="Header"/>
      <w:tabs>
        <w:tab w:val="clear" w:pos="4680"/>
        <w:tab w:val="clear" w:pos="9360"/>
        <w:tab w:val="center" w:pos="3384"/>
        <w:tab w:val="left" w:pos="6768"/>
      </w:tabs>
      <w:ind w:right="360"/>
      <w:rPr>
        <w:rStyle w:val="PageNumber"/>
        <w:sz w:val="22"/>
        <w:szCs w:val="22"/>
      </w:rPr>
    </w:pPr>
    <w:r>
      <w:rPr>
        <w:rStyle w:val="PageNumber"/>
        <w:sz w:val="22"/>
        <w:szCs w:val="22"/>
      </w:rPr>
      <w:t>Issue 3</w:t>
    </w:r>
    <w:r>
      <w:rPr>
        <w:rStyle w:val="PageNumber"/>
        <w:sz w:val="22"/>
        <w:szCs w:val="22"/>
      </w:rPr>
      <w:tab/>
    </w:r>
    <w:r w:rsidRPr="0078292B">
      <w:rPr>
        <w:rStyle w:val="PageNumber"/>
        <w:i/>
        <w:iCs/>
        <w:sz w:val="22"/>
        <w:szCs w:val="22"/>
      </w:rPr>
      <w:t>RESPONSE</w:t>
    </w:r>
    <w:r>
      <w:rPr>
        <w:rStyle w:val="PageNumber"/>
        <w:sz w:val="22"/>
        <w:szCs w:val="22"/>
      </w:rPr>
      <w:tab/>
    </w:r>
  </w:p>
  <w:p w14:paraId="194BC5B0" w14:textId="77777777" w:rsidR="0078292B" w:rsidRPr="0078292B" w:rsidRDefault="0078292B" w:rsidP="0078292B">
    <w:pPr>
      <w:pStyle w:val="Header"/>
      <w:tabs>
        <w:tab w:val="clear" w:pos="4680"/>
        <w:tab w:val="clear" w:pos="9360"/>
        <w:tab w:val="center" w:pos="3384"/>
        <w:tab w:val="left" w:pos="676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65ED"/>
    <w:multiLevelType w:val="hybridMultilevel"/>
    <w:tmpl w:val="5F8AB298"/>
    <w:lvl w:ilvl="0" w:tplc="3858DCFC">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4CF81DF3"/>
    <w:multiLevelType w:val="hybridMultilevel"/>
    <w:tmpl w:val="A0D457D6"/>
    <w:lvl w:ilvl="0" w:tplc="E04EB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37866"/>
    <w:multiLevelType w:val="hybridMultilevel"/>
    <w:tmpl w:val="D36C7CF2"/>
    <w:lvl w:ilvl="0" w:tplc="53A09FC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5AC34261"/>
    <w:multiLevelType w:val="hybridMultilevel"/>
    <w:tmpl w:val="3FB20118"/>
    <w:lvl w:ilvl="0" w:tplc="643EFBC2">
      <w:start w:val="1"/>
      <w:numFmt w:val="upperLetter"/>
      <w:lvlText w:val="%1."/>
      <w:lvlJc w:val="left"/>
      <w:pPr>
        <w:ind w:left="72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76620"/>
    <w:multiLevelType w:val="multilevel"/>
    <w:tmpl w:val="E74AC3BC"/>
    <w:styleLink w:val="CurrentList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191AE4"/>
    <w:multiLevelType w:val="hybridMultilevel"/>
    <w:tmpl w:val="72A6E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09296">
    <w:abstractNumId w:val="3"/>
  </w:num>
  <w:num w:numId="2" w16cid:durableId="732891276">
    <w:abstractNumId w:val="4"/>
  </w:num>
  <w:num w:numId="3" w16cid:durableId="2053462332">
    <w:abstractNumId w:val="0"/>
  </w:num>
  <w:num w:numId="4" w16cid:durableId="656569756">
    <w:abstractNumId w:val="2"/>
  </w:num>
  <w:num w:numId="5" w16cid:durableId="32006776">
    <w:abstractNumId w:val="1"/>
  </w:num>
  <w:num w:numId="6" w16cid:durableId="1768768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F8"/>
    <w:rsid w:val="00001932"/>
    <w:rsid w:val="00002D62"/>
    <w:rsid w:val="0001250E"/>
    <w:rsid w:val="0001329D"/>
    <w:rsid w:val="0002671B"/>
    <w:rsid w:val="000340CA"/>
    <w:rsid w:val="00042B9F"/>
    <w:rsid w:val="0005019B"/>
    <w:rsid w:val="00051F94"/>
    <w:rsid w:val="00053737"/>
    <w:rsid w:val="000625AB"/>
    <w:rsid w:val="00071F1B"/>
    <w:rsid w:val="0007335C"/>
    <w:rsid w:val="0007660E"/>
    <w:rsid w:val="0009441A"/>
    <w:rsid w:val="00094E81"/>
    <w:rsid w:val="00097109"/>
    <w:rsid w:val="000A2859"/>
    <w:rsid w:val="000A6524"/>
    <w:rsid w:val="000B0FD8"/>
    <w:rsid w:val="000B1906"/>
    <w:rsid w:val="000C5E95"/>
    <w:rsid w:val="000D215A"/>
    <w:rsid w:val="000D5EAC"/>
    <w:rsid w:val="000E6EF6"/>
    <w:rsid w:val="000F79BA"/>
    <w:rsid w:val="00112355"/>
    <w:rsid w:val="0011466B"/>
    <w:rsid w:val="001179A4"/>
    <w:rsid w:val="00124906"/>
    <w:rsid w:val="00133114"/>
    <w:rsid w:val="0013342B"/>
    <w:rsid w:val="001344D9"/>
    <w:rsid w:val="00135531"/>
    <w:rsid w:val="00137711"/>
    <w:rsid w:val="00140650"/>
    <w:rsid w:val="001701B2"/>
    <w:rsid w:val="00176083"/>
    <w:rsid w:val="00182501"/>
    <w:rsid w:val="0019446A"/>
    <w:rsid w:val="00197A14"/>
    <w:rsid w:val="001A3ECD"/>
    <w:rsid w:val="001B0964"/>
    <w:rsid w:val="001B183D"/>
    <w:rsid w:val="001C2B22"/>
    <w:rsid w:val="001F123B"/>
    <w:rsid w:val="001F2C1F"/>
    <w:rsid w:val="002006D8"/>
    <w:rsid w:val="002011CC"/>
    <w:rsid w:val="00213A68"/>
    <w:rsid w:val="0021405D"/>
    <w:rsid w:val="00225BC8"/>
    <w:rsid w:val="00227BAD"/>
    <w:rsid w:val="0023100A"/>
    <w:rsid w:val="00233126"/>
    <w:rsid w:val="00237393"/>
    <w:rsid w:val="0023744B"/>
    <w:rsid w:val="00240D3B"/>
    <w:rsid w:val="002531DB"/>
    <w:rsid w:val="0026039A"/>
    <w:rsid w:val="0026655C"/>
    <w:rsid w:val="00274984"/>
    <w:rsid w:val="00275492"/>
    <w:rsid w:val="00280696"/>
    <w:rsid w:val="002A222D"/>
    <w:rsid w:val="002A2641"/>
    <w:rsid w:val="002A4869"/>
    <w:rsid w:val="002A58E3"/>
    <w:rsid w:val="002B0AAC"/>
    <w:rsid w:val="002B20E1"/>
    <w:rsid w:val="002B3CFB"/>
    <w:rsid w:val="002B5EB9"/>
    <w:rsid w:val="002C5D5B"/>
    <w:rsid w:val="002C7951"/>
    <w:rsid w:val="002D31D1"/>
    <w:rsid w:val="002D41CE"/>
    <w:rsid w:val="002E447C"/>
    <w:rsid w:val="002E5992"/>
    <w:rsid w:val="002E6DA5"/>
    <w:rsid w:val="00304FA1"/>
    <w:rsid w:val="00310C19"/>
    <w:rsid w:val="003128A6"/>
    <w:rsid w:val="00314260"/>
    <w:rsid w:val="00314733"/>
    <w:rsid w:val="00321483"/>
    <w:rsid w:val="00333534"/>
    <w:rsid w:val="0033537C"/>
    <w:rsid w:val="00354DED"/>
    <w:rsid w:val="00356537"/>
    <w:rsid w:val="00357C16"/>
    <w:rsid w:val="003627F6"/>
    <w:rsid w:val="0036385C"/>
    <w:rsid w:val="00367EF7"/>
    <w:rsid w:val="00374A6E"/>
    <w:rsid w:val="003752F3"/>
    <w:rsid w:val="00375351"/>
    <w:rsid w:val="003772A0"/>
    <w:rsid w:val="00391679"/>
    <w:rsid w:val="00392C66"/>
    <w:rsid w:val="0039C4DD"/>
    <w:rsid w:val="003A338A"/>
    <w:rsid w:val="003A37C0"/>
    <w:rsid w:val="003B0523"/>
    <w:rsid w:val="003D1566"/>
    <w:rsid w:val="003D24BB"/>
    <w:rsid w:val="003E433B"/>
    <w:rsid w:val="003F7942"/>
    <w:rsid w:val="00413925"/>
    <w:rsid w:val="00416247"/>
    <w:rsid w:val="004235F4"/>
    <w:rsid w:val="00436306"/>
    <w:rsid w:val="00436381"/>
    <w:rsid w:val="00455DBD"/>
    <w:rsid w:val="0045656B"/>
    <w:rsid w:val="0047184E"/>
    <w:rsid w:val="00475BE3"/>
    <w:rsid w:val="004760DE"/>
    <w:rsid w:val="00484F71"/>
    <w:rsid w:val="00487B88"/>
    <w:rsid w:val="004A533F"/>
    <w:rsid w:val="004B5398"/>
    <w:rsid w:val="004C71E3"/>
    <w:rsid w:val="004D3B0D"/>
    <w:rsid w:val="004D5618"/>
    <w:rsid w:val="004E0112"/>
    <w:rsid w:val="004E43A2"/>
    <w:rsid w:val="004E5945"/>
    <w:rsid w:val="004E6B53"/>
    <w:rsid w:val="004F6543"/>
    <w:rsid w:val="004F6D59"/>
    <w:rsid w:val="00520094"/>
    <w:rsid w:val="0052134C"/>
    <w:rsid w:val="00525686"/>
    <w:rsid w:val="00534F7F"/>
    <w:rsid w:val="00541D83"/>
    <w:rsid w:val="00543174"/>
    <w:rsid w:val="00555A0B"/>
    <w:rsid w:val="00560EB4"/>
    <w:rsid w:val="00561CAB"/>
    <w:rsid w:val="005927AB"/>
    <w:rsid w:val="005950B5"/>
    <w:rsid w:val="00596F2C"/>
    <w:rsid w:val="005A07BF"/>
    <w:rsid w:val="005A4B8F"/>
    <w:rsid w:val="005A76FA"/>
    <w:rsid w:val="005A7711"/>
    <w:rsid w:val="005A7F70"/>
    <w:rsid w:val="005B0BF5"/>
    <w:rsid w:val="005B62A6"/>
    <w:rsid w:val="005C7591"/>
    <w:rsid w:val="005D2F5E"/>
    <w:rsid w:val="005D7F4E"/>
    <w:rsid w:val="005E1EAC"/>
    <w:rsid w:val="005E2026"/>
    <w:rsid w:val="005E3A4F"/>
    <w:rsid w:val="005E41C9"/>
    <w:rsid w:val="005F5398"/>
    <w:rsid w:val="00602C79"/>
    <w:rsid w:val="00612BBA"/>
    <w:rsid w:val="00615232"/>
    <w:rsid w:val="00620653"/>
    <w:rsid w:val="0062239F"/>
    <w:rsid w:val="00623EBD"/>
    <w:rsid w:val="00631DF1"/>
    <w:rsid w:val="00632DBB"/>
    <w:rsid w:val="00633508"/>
    <w:rsid w:val="00634770"/>
    <w:rsid w:val="00634C7E"/>
    <w:rsid w:val="006358E9"/>
    <w:rsid w:val="0064047B"/>
    <w:rsid w:val="00642002"/>
    <w:rsid w:val="00647D30"/>
    <w:rsid w:val="00655030"/>
    <w:rsid w:val="00664D9A"/>
    <w:rsid w:val="006809AB"/>
    <w:rsid w:val="00687C33"/>
    <w:rsid w:val="0069160B"/>
    <w:rsid w:val="006A1AD9"/>
    <w:rsid w:val="006B3BCF"/>
    <w:rsid w:val="006C05F4"/>
    <w:rsid w:val="006C3B55"/>
    <w:rsid w:val="006C4A01"/>
    <w:rsid w:val="006D32DE"/>
    <w:rsid w:val="006D3B0E"/>
    <w:rsid w:val="006E2054"/>
    <w:rsid w:val="006E4A40"/>
    <w:rsid w:val="006F6288"/>
    <w:rsid w:val="00712006"/>
    <w:rsid w:val="007123B2"/>
    <w:rsid w:val="0071270C"/>
    <w:rsid w:val="00714731"/>
    <w:rsid w:val="0072117C"/>
    <w:rsid w:val="007271E1"/>
    <w:rsid w:val="007276C8"/>
    <w:rsid w:val="00733973"/>
    <w:rsid w:val="00735E5B"/>
    <w:rsid w:val="00745D23"/>
    <w:rsid w:val="00750398"/>
    <w:rsid w:val="00753A49"/>
    <w:rsid w:val="00763C2C"/>
    <w:rsid w:val="007701DA"/>
    <w:rsid w:val="0078292B"/>
    <w:rsid w:val="00783EF5"/>
    <w:rsid w:val="007856E2"/>
    <w:rsid w:val="0079129B"/>
    <w:rsid w:val="00793B13"/>
    <w:rsid w:val="007A5163"/>
    <w:rsid w:val="007A605E"/>
    <w:rsid w:val="007B07D3"/>
    <w:rsid w:val="007B12B5"/>
    <w:rsid w:val="007B5366"/>
    <w:rsid w:val="007D1898"/>
    <w:rsid w:val="007D270E"/>
    <w:rsid w:val="008044F0"/>
    <w:rsid w:val="00805552"/>
    <w:rsid w:val="0081452A"/>
    <w:rsid w:val="00815703"/>
    <w:rsid w:val="00842C02"/>
    <w:rsid w:val="00843CF1"/>
    <w:rsid w:val="00844B03"/>
    <w:rsid w:val="00866C3E"/>
    <w:rsid w:val="00886629"/>
    <w:rsid w:val="00886FB9"/>
    <w:rsid w:val="00887446"/>
    <w:rsid w:val="008875A6"/>
    <w:rsid w:val="00897BBF"/>
    <w:rsid w:val="008A4E94"/>
    <w:rsid w:val="008B6C5B"/>
    <w:rsid w:val="008C0AC5"/>
    <w:rsid w:val="008C0B5D"/>
    <w:rsid w:val="008C15B5"/>
    <w:rsid w:val="008D0ED1"/>
    <w:rsid w:val="008D3C79"/>
    <w:rsid w:val="008E0B0B"/>
    <w:rsid w:val="008E1548"/>
    <w:rsid w:val="008E4BE4"/>
    <w:rsid w:val="008F4C97"/>
    <w:rsid w:val="00900016"/>
    <w:rsid w:val="00900865"/>
    <w:rsid w:val="00906F93"/>
    <w:rsid w:val="009071D5"/>
    <w:rsid w:val="009106C8"/>
    <w:rsid w:val="00917542"/>
    <w:rsid w:val="00923819"/>
    <w:rsid w:val="009241A4"/>
    <w:rsid w:val="009415D6"/>
    <w:rsid w:val="009461CF"/>
    <w:rsid w:val="009468D4"/>
    <w:rsid w:val="00947181"/>
    <w:rsid w:val="00950A3D"/>
    <w:rsid w:val="0096DED5"/>
    <w:rsid w:val="00976E1C"/>
    <w:rsid w:val="00992543"/>
    <w:rsid w:val="009931A8"/>
    <w:rsid w:val="009A4230"/>
    <w:rsid w:val="009A5A7C"/>
    <w:rsid w:val="009A6540"/>
    <w:rsid w:val="009A7CDB"/>
    <w:rsid w:val="009B53AA"/>
    <w:rsid w:val="009C24AB"/>
    <w:rsid w:val="009C38D1"/>
    <w:rsid w:val="009C505F"/>
    <w:rsid w:val="009D5837"/>
    <w:rsid w:val="009D6AC1"/>
    <w:rsid w:val="009E0C07"/>
    <w:rsid w:val="009F3A9A"/>
    <w:rsid w:val="009F4716"/>
    <w:rsid w:val="009F5638"/>
    <w:rsid w:val="00A04DBF"/>
    <w:rsid w:val="00A07F48"/>
    <w:rsid w:val="00A1032D"/>
    <w:rsid w:val="00A1784F"/>
    <w:rsid w:val="00A3409F"/>
    <w:rsid w:val="00A41373"/>
    <w:rsid w:val="00A526E1"/>
    <w:rsid w:val="00A5526E"/>
    <w:rsid w:val="00A57C8B"/>
    <w:rsid w:val="00A72DD2"/>
    <w:rsid w:val="00A858DE"/>
    <w:rsid w:val="00A9432C"/>
    <w:rsid w:val="00A959E9"/>
    <w:rsid w:val="00AB1D24"/>
    <w:rsid w:val="00AD43F7"/>
    <w:rsid w:val="00AE52A1"/>
    <w:rsid w:val="00B20520"/>
    <w:rsid w:val="00B23B2C"/>
    <w:rsid w:val="00B274D2"/>
    <w:rsid w:val="00B37E8B"/>
    <w:rsid w:val="00B451A5"/>
    <w:rsid w:val="00B50EA2"/>
    <w:rsid w:val="00B51598"/>
    <w:rsid w:val="00B65CD2"/>
    <w:rsid w:val="00B80FD4"/>
    <w:rsid w:val="00BA58FF"/>
    <w:rsid w:val="00BA6546"/>
    <w:rsid w:val="00BB7CB2"/>
    <w:rsid w:val="00BC3A28"/>
    <w:rsid w:val="00BD396C"/>
    <w:rsid w:val="00BD478E"/>
    <w:rsid w:val="00BE66AB"/>
    <w:rsid w:val="00BF10E1"/>
    <w:rsid w:val="00BF1102"/>
    <w:rsid w:val="00C04DCB"/>
    <w:rsid w:val="00C06357"/>
    <w:rsid w:val="00C41767"/>
    <w:rsid w:val="00C41830"/>
    <w:rsid w:val="00C4665A"/>
    <w:rsid w:val="00C518F9"/>
    <w:rsid w:val="00C61B84"/>
    <w:rsid w:val="00C669F2"/>
    <w:rsid w:val="00C70E8E"/>
    <w:rsid w:val="00C8139F"/>
    <w:rsid w:val="00C87E76"/>
    <w:rsid w:val="00C90178"/>
    <w:rsid w:val="00C96280"/>
    <w:rsid w:val="00CB3B6B"/>
    <w:rsid w:val="00CB78D4"/>
    <w:rsid w:val="00CB7F5B"/>
    <w:rsid w:val="00CC585B"/>
    <w:rsid w:val="00CD010F"/>
    <w:rsid w:val="00CD48A8"/>
    <w:rsid w:val="00CE0F06"/>
    <w:rsid w:val="00D056CA"/>
    <w:rsid w:val="00D07A75"/>
    <w:rsid w:val="00D206EB"/>
    <w:rsid w:val="00D26988"/>
    <w:rsid w:val="00D36A6E"/>
    <w:rsid w:val="00D514F6"/>
    <w:rsid w:val="00D5465A"/>
    <w:rsid w:val="00D57F9C"/>
    <w:rsid w:val="00D6257E"/>
    <w:rsid w:val="00D67145"/>
    <w:rsid w:val="00D70F7A"/>
    <w:rsid w:val="00D80FF1"/>
    <w:rsid w:val="00D82A68"/>
    <w:rsid w:val="00D87BF8"/>
    <w:rsid w:val="00DA6B12"/>
    <w:rsid w:val="00DA6BD2"/>
    <w:rsid w:val="00DB60D0"/>
    <w:rsid w:val="00DD07B7"/>
    <w:rsid w:val="00DD1CBF"/>
    <w:rsid w:val="00DD505D"/>
    <w:rsid w:val="00DD757F"/>
    <w:rsid w:val="00DE22AB"/>
    <w:rsid w:val="00DE4B31"/>
    <w:rsid w:val="00DF1768"/>
    <w:rsid w:val="00DF780C"/>
    <w:rsid w:val="00E02771"/>
    <w:rsid w:val="00E03E94"/>
    <w:rsid w:val="00E4152E"/>
    <w:rsid w:val="00E41B64"/>
    <w:rsid w:val="00E44353"/>
    <w:rsid w:val="00E46F0E"/>
    <w:rsid w:val="00E53559"/>
    <w:rsid w:val="00E62254"/>
    <w:rsid w:val="00E65743"/>
    <w:rsid w:val="00E70C94"/>
    <w:rsid w:val="00E80AE9"/>
    <w:rsid w:val="00E8590B"/>
    <w:rsid w:val="00EA3044"/>
    <w:rsid w:val="00EB5A1D"/>
    <w:rsid w:val="00EC5D2C"/>
    <w:rsid w:val="00EC5EC0"/>
    <w:rsid w:val="00ED07BF"/>
    <w:rsid w:val="00ED67E4"/>
    <w:rsid w:val="00EE2F31"/>
    <w:rsid w:val="00EE7B73"/>
    <w:rsid w:val="00EF3CF9"/>
    <w:rsid w:val="00EF67E7"/>
    <w:rsid w:val="00F0261D"/>
    <w:rsid w:val="00F02622"/>
    <w:rsid w:val="00F07980"/>
    <w:rsid w:val="00F14C2A"/>
    <w:rsid w:val="00F2114D"/>
    <w:rsid w:val="00F219FC"/>
    <w:rsid w:val="00F229C6"/>
    <w:rsid w:val="00F22E61"/>
    <w:rsid w:val="00F269D5"/>
    <w:rsid w:val="00F310B6"/>
    <w:rsid w:val="00F3159A"/>
    <w:rsid w:val="00F331B5"/>
    <w:rsid w:val="00F4094F"/>
    <w:rsid w:val="00F46998"/>
    <w:rsid w:val="00F60BAE"/>
    <w:rsid w:val="00F610AC"/>
    <w:rsid w:val="00F61A4B"/>
    <w:rsid w:val="00F766D4"/>
    <w:rsid w:val="00F81DBF"/>
    <w:rsid w:val="00F8263E"/>
    <w:rsid w:val="00F84FFB"/>
    <w:rsid w:val="00F85D2F"/>
    <w:rsid w:val="00F874C2"/>
    <w:rsid w:val="00FA0359"/>
    <w:rsid w:val="00FA1388"/>
    <w:rsid w:val="00FA6C90"/>
    <w:rsid w:val="00FD4CB2"/>
    <w:rsid w:val="00FE0679"/>
    <w:rsid w:val="00FE1D43"/>
    <w:rsid w:val="00FE287A"/>
    <w:rsid w:val="00FE7311"/>
    <w:rsid w:val="00FF4F0D"/>
    <w:rsid w:val="00FF5269"/>
    <w:rsid w:val="01631E9A"/>
    <w:rsid w:val="02D99517"/>
    <w:rsid w:val="02E12BB0"/>
    <w:rsid w:val="0386BA4A"/>
    <w:rsid w:val="05145044"/>
    <w:rsid w:val="052D5BAC"/>
    <w:rsid w:val="0659A8BD"/>
    <w:rsid w:val="070690E5"/>
    <w:rsid w:val="07E038B1"/>
    <w:rsid w:val="07F98F75"/>
    <w:rsid w:val="086EB433"/>
    <w:rsid w:val="08957A45"/>
    <w:rsid w:val="08CD6013"/>
    <w:rsid w:val="09026B47"/>
    <w:rsid w:val="09F6DBC0"/>
    <w:rsid w:val="0A15E527"/>
    <w:rsid w:val="0C93785B"/>
    <w:rsid w:val="0D3808EA"/>
    <w:rsid w:val="0D941DD8"/>
    <w:rsid w:val="0DFD26F7"/>
    <w:rsid w:val="0E8C67CD"/>
    <w:rsid w:val="1013D403"/>
    <w:rsid w:val="10F594A4"/>
    <w:rsid w:val="11BCCA07"/>
    <w:rsid w:val="120D159E"/>
    <w:rsid w:val="124F420C"/>
    <w:rsid w:val="12826D37"/>
    <w:rsid w:val="148BB7AB"/>
    <w:rsid w:val="152B4609"/>
    <w:rsid w:val="15CD935C"/>
    <w:rsid w:val="1635CCF6"/>
    <w:rsid w:val="17B71887"/>
    <w:rsid w:val="17EF79E0"/>
    <w:rsid w:val="1948FEBB"/>
    <w:rsid w:val="1B4F1CE8"/>
    <w:rsid w:val="1BBF6054"/>
    <w:rsid w:val="1D043440"/>
    <w:rsid w:val="1F7F727A"/>
    <w:rsid w:val="1F8CBD5E"/>
    <w:rsid w:val="201140FC"/>
    <w:rsid w:val="20FDBA73"/>
    <w:rsid w:val="20FFE8E3"/>
    <w:rsid w:val="21E36F63"/>
    <w:rsid w:val="228C76AB"/>
    <w:rsid w:val="22AFE2F9"/>
    <w:rsid w:val="23AC3361"/>
    <w:rsid w:val="23FC5E10"/>
    <w:rsid w:val="24DA5929"/>
    <w:rsid w:val="27235E74"/>
    <w:rsid w:val="27CB32AF"/>
    <w:rsid w:val="2813FEF5"/>
    <w:rsid w:val="2826E259"/>
    <w:rsid w:val="283467E2"/>
    <w:rsid w:val="28392636"/>
    <w:rsid w:val="28C36C83"/>
    <w:rsid w:val="296B79F1"/>
    <w:rsid w:val="298247BE"/>
    <w:rsid w:val="29EE7112"/>
    <w:rsid w:val="2BE85F97"/>
    <w:rsid w:val="2C01FA1A"/>
    <w:rsid w:val="2C60A063"/>
    <w:rsid w:val="2EB5A131"/>
    <w:rsid w:val="2EC87F7F"/>
    <w:rsid w:val="2EEE2CC3"/>
    <w:rsid w:val="2F55FA2B"/>
    <w:rsid w:val="2F6B523D"/>
    <w:rsid w:val="2FE3B752"/>
    <w:rsid w:val="3038BB31"/>
    <w:rsid w:val="31F5CF02"/>
    <w:rsid w:val="35A828B6"/>
    <w:rsid w:val="369592EE"/>
    <w:rsid w:val="36A0F28A"/>
    <w:rsid w:val="390DD797"/>
    <w:rsid w:val="3C5552CA"/>
    <w:rsid w:val="3DC67793"/>
    <w:rsid w:val="3E498AD3"/>
    <w:rsid w:val="3EBF0D1F"/>
    <w:rsid w:val="3FE0090F"/>
    <w:rsid w:val="41920962"/>
    <w:rsid w:val="4200D2B4"/>
    <w:rsid w:val="421DF602"/>
    <w:rsid w:val="45C06582"/>
    <w:rsid w:val="4616CA86"/>
    <w:rsid w:val="4692ADEB"/>
    <w:rsid w:val="4A588EF7"/>
    <w:rsid w:val="4B028EE7"/>
    <w:rsid w:val="4BAE5546"/>
    <w:rsid w:val="4E2EDFA2"/>
    <w:rsid w:val="4E52A652"/>
    <w:rsid w:val="4EEFADB0"/>
    <w:rsid w:val="4F442E5C"/>
    <w:rsid w:val="4F4DBAC4"/>
    <w:rsid w:val="4F57689C"/>
    <w:rsid w:val="511E7532"/>
    <w:rsid w:val="51FEEC05"/>
    <w:rsid w:val="5302F25A"/>
    <w:rsid w:val="530EDCBE"/>
    <w:rsid w:val="55500C31"/>
    <w:rsid w:val="564D58E9"/>
    <w:rsid w:val="56CB7D23"/>
    <w:rsid w:val="573FA44C"/>
    <w:rsid w:val="5807739B"/>
    <w:rsid w:val="59545FA0"/>
    <w:rsid w:val="5B4B383C"/>
    <w:rsid w:val="5B8B1D33"/>
    <w:rsid w:val="5B972C85"/>
    <w:rsid w:val="5CD2A5C4"/>
    <w:rsid w:val="5DC96875"/>
    <w:rsid w:val="5E21A48A"/>
    <w:rsid w:val="5ECDD86F"/>
    <w:rsid w:val="5FA2DCFC"/>
    <w:rsid w:val="60E68692"/>
    <w:rsid w:val="61245128"/>
    <w:rsid w:val="6146C6A7"/>
    <w:rsid w:val="619BD757"/>
    <w:rsid w:val="62ABDE5B"/>
    <w:rsid w:val="62CEEB0D"/>
    <w:rsid w:val="62D8CEFD"/>
    <w:rsid w:val="62E71545"/>
    <w:rsid w:val="63DB8741"/>
    <w:rsid w:val="657DEA6B"/>
    <w:rsid w:val="6590C20E"/>
    <w:rsid w:val="66DEBD72"/>
    <w:rsid w:val="6764766B"/>
    <w:rsid w:val="67888557"/>
    <w:rsid w:val="6875E68E"/>
    <w:rsid w:val="6AB335D2"/>
    <w:rsid w:val="6ADE1143"/>
    <w:rsid w:val="6CAD8D7B"/>
    <w:rsid w:val="6E4540EE"/>
    <w:rsid w:val="6FA98C49"/>
    <w:rsid w:val="70098370"/>
    <w:rsid w:val="7115E15F"/>
    <w:rsid w:val="76520A6A"/>
    <w:rsid w:val="7767CBE4"/>
    <w:rsid w:val="77DBB6AA"/>
    <w:rsid w:val="7840A2CE"/>
    <w:rsid w:val="78C35701"/>
    <w:rsid w:val="7A8B75B2"/>
    <w:rsid w:val="7D15D558"/>
    <w:rsid w:val="7ED482FB"/>
    <w:rsid w:val="7FC034A7"/>
    <w:rsid w:val="7FCD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8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22"/>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1C2B22"/>
    <w:pPr>
      <w:keepNext/>
      <w:keepLines/>
      <w:tabs>
        <w:tab w:val="left" w:pos="284"/>
      </w:tabs>
      <w:spacing w:before="240" w:after="240" w:line="276" w:lineRule="auto"/>
      <w:jc w:val="center"/>
      <w:outlineLvl w:val="0"/>
    </w:pPr>
    <w:rPr>
      <w:rFonts w:eastAsia="MS Gothic"/>
      <w:smallCaps/>
      <w:sz w:val="26"/>
      <w:szCs w:val="26"/>
    </w:rPr>
  </w:style>
  <w:style w:type="paragraph" w:styleId="Heading2">
    <w:name w:val="heading 2"/>
    <w:basedOn w:val="Normal"/>
    <w:next w:val="Normal"/>
    <w:link w:val="Heading2Char"/>
    <w:uiPriority w:val="9"/>
    <w:unhideWhenUsed/>
    <w:qFormat/>
    <w:rsid w:val="001C2B22"/>
    <w:pPr>
      <w:keepNext/>
      <w:spacing w:after="240"/>
      <w:contextualSpacing/>
      <w:outlineLvl w:val="1"/>
    </w:pPr>
    <w:rPr>
      <w:rFonts w:eastAsia="MS Gothic"/>
      <w:bCs/>
      <w:i/>
      <w:iCs/>
      <w:szCs w:val="28"/>
    </w:rPr>
  </w:style>
  <w:style w:type="paragraph" w:styleId="Heading3">
    <w:name w:val="heading 3"/>
    <w:basedOn w:val="Normal"/>
    <w:next w:val="Normal"/>
    <w:link w:val="Heading3Char"/>
    <w:uiPriority w:val="9"/>
    <w:unhideWhenUsed/>
    <w:qFormat/>
    <w:rsid w:val="001C2B22"/>
    <w:pPr>
      <w:keepNext/>
      <w:spacing w:before="240" w:after="240" w:line="276" w:lineRule="auto"/>
      <w:outlineLvl w:val="2"/>
    </w:pPr>
    <w:rPr>
      <w:rFonts w:eastAsia="MS Gothic"/>
      <w:bCs/>
      <w:szCs w:val="26"/>
    </w:rPr>
  </w:style>
  <w:style w:type="paragraph" w:styleId="Heading4">
    <w:name w:val="heading 4"/>
    <w:basedOn w:val="Heading2"/>
    <w:next w:val="BodyText"/>
    <w:link w:val="Heading4Char"/>
    <w:uiPriority w:val="9"/>
    <w:unhideWhenUsed/>
    <w:qFormat/>
    <w:rsid w:val="001C2B22"/>
    <w:pPr>
      <w:jc w:val="both"/>
      <w:outlineLvl w:val="3"/>
    </w:pPr>
    <w:rPr>
      <w:i w:val="0"/>
      <w:sz w:val="22"/>
      <w:u w:val="single"/>
    </w:rPr>
  </w:style>
  <w:style w:type="paragraph" w:styleId="Heading5">
    <w:name w:val="heading 5"/>
    <w:basedOn w:val="Normal"/>
    <w:next w:val="Normal"/>
    <w:link w:val="Heading5Char"/>
    <w:uiPriority w:val="9"/>
    <w:semiHidden/>
    <w:unhideWhenUsed/>
    <w:qFormat/>
    <w:rsid w:val="001C2B2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2B22"/>
    <w:pPr>
      <w:tabs>
        <w:tab w:val="left" w:pos="-720"/>
      </w:tabs>
      <w:suppressAutoHyphens/>
      <w:outlineLvl w:val="5"/>
    </w:pPr>
    <w:rPr>
      <w:spacing w:val="-3"/>
    </w:rPr>
  </w:style>
  <w:style w:type="paragraph" w:styleId="Heading7">
    <w:name w:val="heading 7"/>
    <w:basedOn w:val="Normal"/>
    <w:next w:val="Normal"/>
    <w:link w:val="Heading7Char"/>
    <w:qFormat/>
    <w:rsid w:val="001C2B22"/>
    <w:pPr>
      <w:tabs>
        <w:tab w:val="left" w:pos="-720"/>
      </w:tabs>
      <w:suppressAutoHyphens/>
      <w:outlineLvl w:val="6"/>
    </w:pPr>
    <w:rPr>
      <w:spacing w:val="-3"/>
    </w:rPr>
  </w:style>
  <w:style w:type="paragraph" w:styleId="Heading8">
    <w:name w:val="heading 8"/>
    <w:basedOn w:val="Normal"/>
    <w:next w:val="Normal"/>
    <w:link w:val="Heading8Char"/>
    <w:qFormat/>
    <w:rsid w:val="001C2B22"/>
    <w:pPr>
      <w:tabs>
        <w:tab w:val="left" w:pos="-720"/>
      </w:tabs>
      <w:suppressAutoHyphens/>
      <w:outlineLvl w:val="7"/>
    </w:pPr>
    <w:rPr>
      <w:rFonts w:ascii="Arial" w:hAnsi="Arial"/>
      <w:i/>
      <w:spacing w:val="-2"/>
    </w:rPr>
  </w:style>
  <w:style w:type="paragraph" w:styleId="Heading9">
    <w:name w:val="heading 9"/>
    <w:basedOn w:val="Normal"/>
    <w:next w:val="Normal"/>
    <w:link w:val="Heading9Char"/>
    <w:qFormat/>
    <w:rsid w:val="001C2B22"/>
    <w:pPr>
      <w:tabs>
        <w:tab w:val="left" w:pos="-720"/>
      </w:tabs>
      <w:suppressAutoHyphens/>
      <w:outlineLvl w:val="8"/>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C2B22"/>
    <w:rPr>
      <w:vertAlign w:val="superscript"/>
    </w:rPr>
  </w:style>
  <w:style w:type="paragraph" w:styleId="FootnoteText">
    <w:name w:val="footnote text"/>
    <w:basedOn w:val="Normal"/>
    <w:link w:val="FootnoteTextChar"/>
    <w:uiPriority w:val="99"/>
    <w:unhideWhenUsed/>
    <w:rsid w:val="001C2B22"/>
    <w:pPr>
      <w:keepLines/>
      <w:tabs>
        <w:tab w:val="left" w:pos="709"/>
      </w:tabs>
      <w:ind w:firstLine="288"/>
    </w:pPr>
    <w:rPr>
      <w:rFonts w:eastAsia="Calibri"/>
      <w:noProof/>
      <w:sz w:val="18"/>
      <w:szCs w:val="20"/>
    </w:rPr>
  </w:style>
  <w:style w:type="character" w:customStyle="1" w:styleId="FootnoteTextChar">
    <w:name w:val="Footnote Text Char"/>
    <w:link w:val="FootnoteText"/>
    <w:uiPriority w:val="99"/>
    <w:rsid w:val="001C2B22"/>
    <w:rPr>
      <w:rFonts w:ascii="Times New Roman" w:eastAsia="Calibri" w:hAnsi="Times New Roman"/>
      <w:noProof/>
      <w:kern w:val="0"/>
      <w:sz w:val="18"/>
      <w:szCs w:val="20"/>
      <w14:ligatures w14:val="none"/>
    </w:rPr>
  </w:style>
  <w:style w:type="paragraph" w:customStyle="1" w:styleId="Style1">
    <w:name w:val="Style1"/>
    <w:basedOn w:val="Normal"/>
    <w:autoRedefine/>
    <w:qFormat/>
    <w:rsid w:val="009D5837"/>
    <w:pPr>
      <w:ind w:firstLine="720"/>
    </w:pPr>
  </w:style>
  <w:style w:type="character" w:customStyle="1" w:styleId="Heading1Char">
    <w:name w:val="Heading 1 Char"/>
    <w:link w:val="Heading1"/>
    <w:uiPriority w:val="9"/>
    <w:rsid w:val="001C2B22"/>
    <w:rPr>
      <w:rFonts w:ascii="Times New Roman" w:eastAsia="MS Gothic" w:hAnsi="Times New Roman"/>
      <w:smallCaps/>
      <w:kern w:val="0"/>
      <w:sz w:val="26"/>
      <w:szCs w:val="26"/>
      <w14:ligatures w14:val="none"/>
    </w:rPr>
  </w:style>
  <w:style w:type="paragraph" w:customStyle="1" w:styleId="Header4">
    <w:name w:val="Header_4"/>
    <w:basedOn w:val="Heading3"/>
    <w:autoRedefine/>
    <w:qFormat/>
    <w:rsid w:val="00DD505D"/>
    <w:pPr>
      <w:keepNext w:val="0"/>
      <w:spacing w:before="120" w:after="120"/>
      <w:ind w:left="720"/>
    </w:pPr>
    <w:rPr>
      <w:rFonts w:eastAsia="Times New Roman" w:cs="Times New Roman"/>
      <w:bCs w:val="0"/>
      <w:szCs w:val="28"/>
      <w:u w:val="single"/>
      <w:shd w:val="clear" w:color="auto" w:fill="FFFFFF"/>
    </w:rPr>
  </w:style>
  <w:style w:type="character" w:customStyle="1" w:styleId="Heading3Char">
    <w:name w:val="Heading 3 Char"/>
    <w:link w:val="Heading3"/>
    <w:uiPriority w:val="9"/>
    <w:rsid w:val="001C2B22"/>
    <w:rPr>
      <w:rFonts w:ascii="Times New Roman" w:eastAsia="MS Gothic" w:hAnsi="Times New Roman"/>
      <w:bCs/>
      <w:kern w:val="0"/>
      <w:szCs w:val="26"/>
      <w14:ligatures w14:val="none"/>
    </w:rPr>
  </w:style>
  <w:style w:type="character" w:styleId="Hyperlink">
    <w:name w:val="Hyperlink"/>
    <w:uiPriority w:val="99"/>
    <w:unhideWhenUsed/>
    <w:rsid w:val="001C2B22"/>
    <w:rPr>
      <w:color w:val="0000FF"/>
      <w:u w:val="single"/>
    </w:rPr>
  </w:style>
  <w:style w:type="character" w:styleId="UnresolvedMention">
    <w:name w:val="Unresolved Mention"/>
    <w:basedOn w:val="DefaultParagraphFont"/>
    <w:uiPriority w:val="99"/>
    <w:semiHidden/>
    <w:unhideWhenUsed/>
    <w:rsid w:val="001C2B22"/>
    <w:rPr>
      <w:color w:val="605E5C"/>
      <w:shd w:val="clear" w:color="auto" w:fill="E1DFDD"/>
    </w:rPr>
  </w:style>
  <w:style w:type="character" w:styleId="Emphasis">
    <w:name w:val="Emphasis"/>
    <w:uiPriority w:val="20"/>
    <w:qFormat/>
    <w:rsid w:val="001C2B22"/>
    <w:rPr>
      <w:i/>
      <w:iCs/>
    </w:rPr>
  </w:style>
  <w:style w:type="character" w:customStyle="1" w:styleId="costarpage">
    <w:name w:val="co_starpage"/>
    <w:basedOn w:val="DefaultParagraphFont"/>
    <w:rsid w:val="001C2B22"/>
  </w:style>
  <w:style w:type="character" w:customStyle="1" w:styleId="cohl">
    <w:name w:val="co_hl"/>
    <w:basedOn w:val="DefaultParagraphFont"/>
    <w:rsid w:val="00CB7F5B"/>
  </w:style>
  <w:style w:type="character" w:customStyle="1" w:styleId="cosmallcaps">
    <w:name w:val="co_smallcaps"/>
    <w:basedOn w:val="DefaultParagraphFont"/>
    <w:rsid w:val="00FA1388"/>
  </w:style>
  <w:style w:type="paragraph" w:styleId="ListParagraph">
    <w:name w:val="List Paragraph"/>
    <w:basedOn w:val="Normal"/>
    <w:uiPriority w:val="34"/>
    <w:qFormat/>
    <w:rsid w:val="001C2B22"/>
    <w:pPr>
      <w:ind w:left="720"/>
    </w:pPr>
  </w:style>
  <w:style w:type="character" w:customStyle="1" w:styleId="coconcept2732">
    <w:name w:val="co_concept_27_32"/>
    <w:basedOn w:val="DefaultParagraphFont"/>
    <w:rsid w:val="00612BBA"/>
  </w:style>
  <w:style w:type="character" w:customStyle="1" w:styleId="coconcept3437">
    <w:name w:val="co_concept_34_37"/>
    <w:basedOn w:val="DefaultParagraphFont"/>
    <w:rsid w:val="00612BBA"/>
  </w:style>
  <w:style w:type="character" w:customStyle="1" w:styleId="coconcept712">
    <w:name w:val="co_concept_7_12"/>
    <w:basedOn w:val="DefaultParagraphFont"/>
    <w:rsid w:val="00612BBA"/>
  </w:style>
  <w:style w:type="character" w:customStyle="1" w:styleId="coconcept1420">
    <w:name w:val="co_concept_14_20"/>
    <w:basedOn w:val="DefaultParagraphFont"/>
    <w:rsid w:val="00612BBA"/>
  </w:style>
  <w:style w:type="character" w:customStyle="1" w:styleId="cosearchterm">
    <w:name w:val="co_searchterm"/>
    <w:basedOn w:val="DefaultParagraphFont"/>
    <w:rsid w:val="001C2B22"/>
  </w:style>
  <w:style w:type="character" w:customStyle="1" w:styleId="coconcept27">
    <w:name w:val="co_concept_2_7"/>
    <w:basedOn w:val="DefaultParagraphFont"/>
    <w:rsid w:val="00DE22AB"/>
  </w:style>
  <w:style w:type="character" w:customStyle="1" w:styleId="coconcept915">
    <w:name w:val="co_concept_9_15"/>
    <w:basedOn w:val="DefaultParagraphFont"/>
    <w:rsid w:val="00DE22AB"/>
  </w:style>
  <w:style w:type="character" w:customStyle="1" w:styleId="coconcept1719">
    <w:name w:val="co_concept_17_19"/>
    <w:basedOn w:val="DefaultParagraphFont"/>
    <w:rsid w:val="00DE22AB"/>
  </w:style>
  <w:style w:type="paragraph" w:customStyle="1" w:styleId="Default">
    <w:name w:val="Default"/>
    <w:rsid w:val="001C2B22"/>
    <w:pPr>
      <w:autoSpaceDE w:val="0"/>
      <w:autoSpaceDN w:val="0"/>
      <w:adjustRightInd w:val="0"/>
    </w:pPr>
    <w:rPr>
      <w:rFonts w:ascii="Times New Roman" w:eastAsia="MS Mincho" w:hAnsi="Times New Roman" w:cs="Times New Roman"/>
      <w:color w:val="000000"/>
      <w:kern w:val="0"/>
      <w14:ligatures w14:val="none"/>
    </w:rPr>
  </w:style>
  <w:style w:type="character" w:styleId="FollowedHyperlink">
    <w:name w:val="FollowedHyperlink"/>
    <w:basedOn w:val="DefaultParagraphFont"/>
    <w:uiPriority w:val="99"/>
    <w:semiHidden/>
    <w:unhideWhenUsed/>
    <w:rsid w:val="001C2B22"/>
    <w:rPr>
      <w:color w:val="954F72" w:themeColor="followedHyperlink"/>
      <w:u w:val="single"/>
    </w:rPr>
  </w:style>
  <w:style w:type="character" w:customStyle="1" w:styleId="coconcept1419">
    <w:name w:val="co_concept_14_19"/>
    <w:basedOn w:val="DefaultParagraphFont"/>
    <w:rsid w:val="00735E5B"/>
  </w:style>
  <w:style w:type="character" w:customStyle="1" w:styleId="coconcept2127">
    <w:name w:val="co_concept_21_27"/>
    <w:basedOn w:val="DefaultParagraphFont"/>
    <w:rsid w:val="00735E5B"/>
  </w:style>
  <w:style w:type="paragraph" w:styleId="CommentText">
    <w:name w:val="annotation text"/>
    <w:basedOn w:val="Normal"/>
    <w:link w:val="CommentTextChar"/>
    <w:uiPriority w:val="99"/>
    <w:unhideWhenUsed/>
    <w:rsid w:val="001C2B22"/>
  </w:style>
  <w:style w:type="character" w:customStyle="1" w:styleId="CommentTextChar">
    <w:name w:val="Comment Text Char"/>
    <w:basedOn w:val="DefaultParagraphFont"/>
    <w:link w:val="CommentText"/>
    <w:uiPriority w:val="99"/>
    <w:rsid w:val="001C2B22"/>
    <w:rPr>
      <w:rFonts w:ascii="Times New Roman" w:eastAsiaTheme="minorEastAsia" w:hAnsi="Times New Roman"/>
      <w:kern w:val="0"/>
      <w14:ligatures w14:val="none"/>
    </w:rPr>
  </w:style>
  <w:style w:type="character" w:styleId="CommentReference">
    <w:name w:val="annotation reference"/>
    <w:uiPriority w:val="99"/>
    <w:semiHidden/>
    <w:unhideWhenUsed/>
    <w:rsid w:val="001C2B22"/>
    <w:rPr>
      <w:sz w:val="18"/>
      <w:szCs w:val="18"/>
    </w:rPr>
  </w:style>
  <w:style w:type="paragraph" w:styleId="Revision">
    <w:name w:val="Revision"/>
    <w:hidden/>
    <w:uiPriority w:val="99"/>
    <w:semiHidden/>
    <w:rsid w:val="007B12B5"/>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1C2B22"/>
    <w:rPr>
      <w:b/>
      <w:bCs/>
      <w:sz w:val="20"/>
      <w:szCs w:val="20"/>
    </w:rPr>
  </w:style>
  <w:style w:type="character" w:customStyle="1" w:styleId="CommentSubjectChar">
    <w:name w:val="Comment Subject Char"/>
    <w:link w:val="CommentSubject"/>
    <w:uiPriority w:val="99"/>
    <w:semiHidden/>
    <w:rsid w:val="001C2B22"/>
    <w:rPr>
      <w:rFonts w:ascii="Times New Roman" w:eastAsiaTheme="minorEastAsia" w:hAnsi="Times New Roman"/>
      <w:b/>
      <w:bCs/>
      <w:kern w:val="0"/>
      <w:sz w:val="20"/>
      <w:szCs w:val="20"/>
      <w14:ligatures w14:val="none"/>
    </w:rPr>
  </w:style>
  <w:style w:type="character" w:customStyle="1" w:styleId="lewnzc">
    <w:name w:val="lewnzc"/>
    <w:basedOn w:val="DefaultParagraphFont"/>
    <w:rsid w:val="00687C33"/>
  </w:style>
  <w:style w:type="character" w:customStyle="1" w:styleId="A7">
    <w:name w:val="A7"/>
    <w:uiPriority w:val="99"/>
    <w:rsid w:val="001C2B22"/>
    <w:rPr>
      <w:rFonts w:cs="HelveticaNeueLT Std Lt Cn"/>
      <w:color w:val="000000"/>
      <w:sz w:val="22"/>
      <w:szCs w:val="22"/>
    </w:rPr>
  </w:style>
  <w:style w:type="paragraph" w:customStyle="1" w:styleId="AbstractBlock">
    <w:name w:val="Abstract Block"/>
    <w:qFormat/>
    <w:rsid w:val="001C2B22"/>
    <w:pPr>
      <w:spacing w:after="240"/>
      <w:ind w:left="547"/>
      <w:jc w:val="both"/>
    </w:pPr>
    <w:rPr>
      <w:rFonts w:ascii="Times New Roman" w:eastAsia="Calibri" w:hAnsi="Times New Roman"/>
      <w:kern w:val="0"/>
      <w:szCs w:val="22"/>
      <w14:ligatures w14:val="none"/>
    </w:rPr>
  </w:style>
  <w:style w:type="paragraph" w:customStyle="1" w:styleId="AbstractTitle">
    <w:name w:val="Abstract Title"/>
    <w:link w:val="AbstractTitleChar"/>
    <w:qFormat/>
    <w:rsid w:val="001C2B22"/>
    <w:pPr>
      <w:spacing w:before="240" w:after="120" w:line="276" w:lineRule="auto"/>
    </w:pPr>
    <w:rPr>
      <w:rFonts w:ascii="Times New Roman" w:eastAsia="MS Gothic" w:hAnsi="Times New Roman" w:cs="Times New Roman"/>
      <w:b/>
      <w:bCs/>
      <w:kern w:val="40"/>
      <w:szCs w:val="40"/>
      <w14:ligatures w14:val="none"/>
    </w:rPr>
  </w:style>
  <w:style w:type="character" w:customStyle="1" w:styleId="AbstractTitleChar">
    <w:name w:val="Abstract Title Char"/>
    <w:basedOn w:val="DefaultParagraphFont"/>
    <w:link w:val="AbstractTitle"/>
    <w:rsid w:val="001C2B22"/>
    <w:rPr>
      <w:rFonts w:ascii="Times New Roman" w:eastAsia="MS Gothic" w:hAnsi="Times New Roman" w:cs="Times New Roman"/>
      <w:b/>
      <w:bCs/>
      <w:kern w:val="40"/>
      <w:szCs w:val="40"/>
      <w14:ligatures w14:val="none"/>
    </w:rPr>
  </w:style>
  <w:style w:type="character" w:customStyle="1" w:styleId="apple-converted-space">
    <w:name w:val="apple-converted-space"/>
    <w:basedOn w:val="DefaultParagraphFont"/>
    <w:rsid w:val="001C2B22"/>
  </w:style>
  <w:style w:type="character" w:customStyle="1" w:styleId="arttitle">
    <w:name w:val="art_title"/>
    <w:basedOn w:val="DefaultParagraphFont"/>
    <w:rsid w:val="001C2B22"/>
  </w:style>
  <w:style w:type="character" w:customStyle="1" w:styleId="authors">
    <w:name w:val="authors"/>
    <w:basedOn w:val="DefaultParagraphFont"/>
    <w:rsid w:val="001C2B22"/>
  </w:style>
  <w:style w:type="paragraph" w:styleId="BalloonText">
    <w:name w:val="Balloon Text"/>
    <w:basedOn w:val="Normal"/>
    <w:link w:val="BalloonTextChar"/>
    <w:uiPriority w:val="99"/>
    <w:semiHidden/>
    <w:unhideWhenUsed/>
    <w:rsid w:val="001C2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B22"/>
    <w:rPr>
      <w:rFonts w:ascii="Lucida Grande" w:eastAsiaTheme="minorEastAsia" w:hAnsi="Lucida Grande" w:cs="Lucida Grande"/>
      <w:kern w:val="0"/>
      <w:sz w:val="18"/>
      <w:szCs w:val="18"/>
      <w14:ligatures w14:val="none"/>
    </w:rPr>
  </w:style>
  <w:style w:type="paragraph" w:customStyle="1" w:styleId="BlockQuote">
    <w:name w:val="Block Quote"/>
    <w:basedOn w:val="Normal"/>
    <w:qFormat/>
    <w:rsid w:val="001C2B22"/>
    <w:pPr>
      <w:spacing w:after="240"/>
      <w:ind w:left="720" w:right="720"/>
      <w:jc w:val="both"/>
    </w:pPr>
  </w:style>
  <w:style w:type="paragraph" w:styleId="BlockText">
    <w:name w:val="Block Text"/>
    <w:basedOn w:val="Normal"/>
    <w:qFormat/>
    <w:rsid w:val="001C2B22"/>
    <w:pPr>
      <w:keepNext/>
      <w:keepLines/>
      <w:spacing w:after="240"/>
      <w:ind w:left="547" w:right="562"/>
      <w:contextualSpacing/>
      <w:jc w:val="both"/>
    </w:pPr>
    <w:rPr>
      <w:rFonts w:eastAsia="Calibri"/>
      <w:sz w:val="22"/>
      <w:szCs w:val="22"/>
    </w:rPr>
  </w:style>
  <w:style w:type="paragraph" w:styleId="BodyText">
    <w:name w:val="Body Text"/>
    <w:basedOn w:val="Normal"/>
    <w:link w:val="BodyTextChar"/>
    <w:qFormat/>
    <w:rsid w:val="001C2B22"/>
    <w:pPr>
      <w:suppressAutoHyphens/>
      <w:spacing w:after="240"/>
      <w:ind w:firstLine="547"/>
      <w:contextualSpacing/>
      <w:jc w:val="both"/>
    </w:pPr>
    <w:rPr>
      <w:rFonts w:eastAsia="Calibri"/>
      <w:sz w:val="22"/>
      <w:szCs w:val="22"/>
    </w:rPr>
  </w:style>
  <w:style w:type="character" w:customStyle="1" w:styleId="BodyTextChar">
    <w:name w:val="Body Text Char"/>
    <w:link w:val="BodyText"/>
    <w:rsid w:val="001C2B22"/>
    <w:rPr>
      <w:rFonts w:ascii="Times New Roman" w:eastAsia="Calibri" w:hAnsi="Times New Roman"/>
      <w:kern w:val="0"/>
      <w:sz w:val="22"/>
      <w:szCs w:val="22"/>
      <w14:ligatures w14:val="none"/>
    </w:rPr>
  </w:style>
  <w:style w:type="paragraph" w:styleId="BodyTextIndent">
    <w:name w:val="Body Text Indent"/>
    <w:basedOn w:val="Normal"/>
    <w:link w:val="BodyTextIndentChar"/>
    <w:uiPriority w:val="99"/>
    <w:unhideWhenUsed/>
    <w:rsid w:val="001C2B22"/>
    <w:pPr>
      <w:ind w:firstLine="360"/>
      <w:jc w:val="both"/>
    </w:pPr>
    <w:rPr>
      <w:color w:val="000000"/>
      <w:shd w:val="clear" w:color="auto" w:fill="FFFFFF"/>
    </w:rPr>
  </w:style>
  <w:style w:type="character" w:customStyle="1" w:styleId="BodyTextIndentChar">
    <w:name w:val="Body Text Indent Char"/>
    <w:link w:val="BodyTextIndent"/>
    <w:uiPriority w:val="99"/>
    <w:rsid w:val="001C2B22"/>
    <w:rPr>
      <w:rFonts w:ascii="Times New Roman" w:eastAsiaTheme="minorEastAsia" w:hAnsi="Times New Roman"/>
      <w:color w:val="000000"/>
      <w:kern w:val="0"/>
      <w14:ligatures w14:val="none"/>
    </w:rPr>
  </w:style>
  <w:style w:type="paragraph" w:customStyle="1" w:styleId="Body-Times">
    <w:name w:val="Body-Times"/>
    <w:basedOn w:val="Normal"/>
    <w:link w:val="Body-TimesChar"/>
    <w:qFormat/>
    <w:rsid w:val="001C2B22"/>
    <w:pPr>
      <w:spacing w:line="480" w:lineRule="auto"/>
      <w:ind w:firstLine="720"/>
    </w:pPr>
  </w:style>
  <w:style w:type="character" w:customStyle="1" w:styleId="Body-TimesChar">
    <w:name w:val="Body-Times Char"/>
    <w:link w:val="Body-Times"/>
    <w:rsid w:val="001C2B22"/>
    <w:rPr>
      <w:rFonts w:ascii="Times New Roman" w:eastAsiaTheme="minorEastAsia" w:hAnsi="Times New Roman"/>
      <w:kern w:val="0"/>
      <w14:ligatures w14:val="none"/>
    </w:rPr>
  </w:style>
  <w:style w:type="character" w:customStyle="1" w:styleId="cf01">
    <w:name w:val="cf01"/>
    <w:basedOn w:val="DefaultParagraphFont"/>
    <w:rsid w:val="001C2B22"/>
    <w:rPr>
      <w:rFonts w:ascii="Segoe UI" w:hAnsi="Segoe UI" w:cs="Segoe UI" w:hint="default"/>
      <w:sz w:val="18"/>
      <w:szCs w:val="18"/>
    </w:rPr>
  </w:style>
  <w:style w:type="character" w:customStyle="1" w:styleId="cf11">
    <w:name w:val="cf11"/>
    <w:basedOn w:val="DefaultParagraphFont"/>
    <w:rsid w:val="001C2B22"/>
    <w:rPr>
      <w:rFonts w:ascii="Segoe UI" w:hAnsi="Segoe UI" w:cs="Segoe UI" w:hint="default"/>
      <w:i/>
      <w:iCs/>
      <w:sz w:val="18"/>
      <w:szCs w:val="18"/>
    </w:rPr>
  </w:style>
  <w:style w:type="character" w:customStyle="1" w:styleId="cohighlightpoints">
    <w:name w:val="co_highlightpoints"/>
    <w:basedOn w:val="DefaultParagraphFont"/>
    <w:rsid w:val="001C2B22"/>
  </w:style>
  <w:style w:type="numbering" w:customStyle="1" w:styleId="CurrentList1">
    <w:name w:val="Current List1"/>
    <w:uiPriority w:val="99"/>
    <w:rsid w:val="001C2B22"/>
  </w:style>
  <w:style w:type="numbering" w:customStyle="1" w:styleId="CurrentList2">
    <w:name w:val="Current List2"/>
    <w:uiPriority w:val="99"/>
    <w:rsid w:val="001C2B22"/>
  </w:style>
  <w:style w:type="numbering" w:customStyle="1" w:styleId="CurrentList3">
    <w:name w:val="Current List3"/>
    <w:uiPriority w:val="99"/>
    <w:rsid w:val="001C2B22"/>
  </w:style>
  <w:style w:type="numbering" w:customStyle="1" w:styleId="CurrentList4">
    <w:name w:val="Current List4"/>
    <w:uiPriority w:val="99"/>
    <w:rsid w:val="001C2B22"/>
    <w:pPr>
      <w:numPr>
        <w:numId w:val="2"/>
      </w:numPr>
    </w:pPr>
  </w:style>
  <w:style w:type="character" w:customStyle="1" w:styleId="date-display-single">
    <w:name w:val="date-display-single"/>
    <w:basedOn w:val="DefaultParagraphFont"/>
    <w:rsid w:val="001C2B22"/>
  </w:style>
  <w:style w:type="character" w:customStyle="1" w:styleId="Date1">
    <w:name w:val="Date1"/>
    <w:basedOn w:val="DefaultParagraphFont"/>
    <w:rsid w:val="001C2B22"/>
  </w:style>
  <w:style w:type="paragraph" w:styleId="DocumentMap">
    <w:name w:val="Document Map"/>
    <w:basedOn w:val="Normal"/>
    <w:link w:val="DocumentMapChar"/>
    <w:uiPriority w:val="99"/>
    <w:semiHidden/>
    <w:unhideWhenUsed/>
    <w:rsid w:val="001C2B22"/>
  </w:style>
  <w:style w:type="character" w:customStyle="1" w:styleId="DocumentMapChar">
    <w:name w:val="Document Map Char"/>
    <w:link w:val="DocumentMap"/>
    <w:uiPriority w:val="99"/>
    <w:semiHidden/>
    <w:rsid w:val="001C2B22"/>
    <w:rPr>
      <w:rFonts w:ascii="Times New Roman" w:eastAsiaTheme="minorEastAsia" w:hAnsi="Times New Roman"/>
      <w:kern w:val="0"/>
      <w14:ligatures w14:val="none"/>
    </w:rPr>
  </w:style>
  <w:style w:type="character" w:styleId="EndnoteReference">
    <w:name w:val="endnote reference"/>
    <w:basedOn w:val="DefaultParagraphFont"/>
    <w:uiPriority w:val="99"/>
    <w:semiHidden/>
    <w:unhideWhenUsed/>
    <w:rsid w:val="001C2B22"/>
    <w:rPr>
      <w:vertAlign w:val="superscript"/>
    </w:rPr>
  </w:style>
  <w:style w:type="paragraph" w:styleId="EndnoteText">
    <w:name w:val="endnote text"/>
    <w:basedOn w:val="Normal"/>
    <w:link w:val="EndnoteTextChar"/>
    <w:uiPriority w:val="99"/>
    <w:semiHidden/>
    <w:unhideWhenUsed/>
    <w:rsid w:val="001C2B22"/>
    <w:rPr>
      <w:sz w:val="20"/>
      <w:szCs w:val="20"/>
    </w:rPr>
  </w:style>
  <w:style w:type="character" w:customStyle="1" w:styleId="EndnoteTextChar">
    <w:name w:val="Endnote Text Char"/>
    <w:basedOn w:val="DefaultParagraphFont"/>
    <w:link w:val="EndnoteText"/>
    <w:uiPriority w:val="99"/>
    <w:semiHidden/>
    <w:rsid w:val="001C2B22"/>
    <w:rPr>
      <w:rFonts w:ascii="Times New Roman" w:eastAsiaTheme="minorEastAsia" w:hAnsi="Times New Roman"/>
      <w:kern w:val="0"/>
      <w:sz w:val="20"/>
      <w:szCs w:val="20"/>
      <w14:ligatures w14:val="none"/>
    </w:rPr>
  </w:style>
  <w:style w:type="paragraph" w:customStyle="1" w:styleId="FigureCaption">
    <w:name w:val="Figure Caption"/>
    <w:basedOn w:val="Normal"/>
    <w:qFormat/>
    <w:rsid w:val="001C2B22"/>
    <w:pPr>
      <w:keepNext/>
      <w:spacing w:after="240"/>
      <w:jc w:val="center"/>
    </w:pPr>
    <w:rPr>
      <w:rFonts w:cs="Times New Roman"/>
      <w:sz w:val="18"/>
      <w:szCs w:val="18"/>
    </w:rPr>
  </w:style>
  <w:style w:type="paragraph" w:styleId="Footer">
    <w:name w:val="footer"/>
    <w:basedOn w:val="Normal"/>
    <w:link w:val="FooterChar"/>
    <w:uiPriority w:val="99"/>
    <w:unhideWhenUsed/>
    <w:rsid w:val="001C2B22"/>
    <w:pPr>
      <w:tabs>
        <w:tab w:val="center" w:pos="4320"/>
        <w:tab w:val="right" w:pos="8640"/>
      </w:tabs>
    </w:pPr>
  </w:style>
  <w:style w:type="character" w:customStyle="1" w:styleId="FooterChar">
    <w:name w:val="Footer Char"/>
    <w:basedOn w:val="DefaultParagraphFont"/>
    <w:link w:val="Footer"/>
    <w:uiPriority w:val="99"/>
    <w:rsid w:val="001C2B22"/>
    <w:rPr>
      <w:rFonts w:ascii="Times New Roman" w:eastAsiaTheme="minorEastAsia" w:hAnsi="Times New Roman"/>
      <w:kern w:val="0"/>
      <w14:ligatures w14:val="none"/>
    </w:rPr>
  </w:style>
  <w:style w:type="paragraph" w:customStyle="1" w:styleId="FootnoteBlockText">
    <w:name w:val="Footnote Block Text"/>
    <w:basedOn w:val="FootnoteText"/>
    <w:next w:val="FootnoteText"/>
    <w:qFormat/>
    <w:rsid w:val="001C2B22"/>
    <w:pPr>
      <w:tabs>
        <w:tab w:val="clear" w:pos="709"/>
        <w:tab w:val="left" w:pos="288"/>
      </w:tabs>
      <w:spacing w:before="120"/>
      <w:ind w:left="540" w:right="567" w:firstLine="0"/>
      <w:jc w:val="both"/>
    </w:pPr>
    <w:rPr>
      <w:szCs w:val="18"/>
    </w:rPr>
  </w:style>
  <w:style w:type="paragraph" w:styleId="Header">
    <w:name w:val="header"/>
    <w:basedOn w:val="Normal"/>
    <w:link w:val="HeaderChar"/>
    <w:uiPriority w:val="99"/>
    <w:unhideWhenUsed/>
    <w:rsid w:val="001C2B22"/>
    <w:pPr>
      <w:tabs>
        <w:tab w:val="center" w:pos="4680"/>
        <w:tab w:val="right" w:pos="9360"/>
      </w:tabs>
    </w:pPr>
  </w:style>
  <w:style w:type="character" w:customStyle="1" w:styleId="HeaderChar">
    <w:name w:val="Header Char"/>
    <w:basedOn w:val="DefaultParagraphFont"/>
    <w:link w:val="Header"/>
    <w:uiPriority w:val="99"/>
    <w:rsid w:val="001C2B22"/>
    <w:rPr>
      <w:rFonts w:ascii="Times New Roman" w:eastAsiaTheme="minorEastAsia" w:hAnsi="Times New Roman"/>
      <w:kern w:val="0"/>
      <w14:ligatures w14:val="none"/>
    </w:rPr>
  </w:style>
  <w:style w:type="character" w:customStyle="1" w:styleId="Heading2Char">
    <w:name w:val="Heading 2 Char"/>
    <w:link w:val="Heading2"/>
    <w:uiPriority w:val="9"/>
    <w:rsid w:val="001C2B22"/>
    <w:rPr>
      <w:rFonts w:ascii="Times New Roman" w:eastAsia="MS Gothic" w:hAnsi="Times New Roman"/>
      <w:bCs/>
      <w:i/>
      <w:iCs/>
      <w:kern w:val="0"/>
      <w:szCs w:val="28"/>
      <w14:ligatures w14:val="none"/>
    </w:rPr>
  </w:style>
  <w:style w:type="character" w:customStyle="1" w:styleId="Heading4Char">
    <w:name w:val="Heading 4 Char"/>
    <w:basedOn w:val="DefaultParagraphFont"/>
    <w:link w:val="Heading4"/>
    <w:uiPriority w:val="9"/>
    <w:rsid w:val="001C2B22"/>
    <w:rPr>
      <w:rFonts w:ascii="Times New Roman" w:eastAsia="MS Gothic" w:hAnsi="Times New Roman"/>
      <w:bCs/>
      <w:iCs/>
      <w:kern w:val="0"/>
      <w:sz w:val="22"/>
      <w:szCs w:val="28"/>
      <w:u w:val="single"/>
      <w14:ligatures w14:val="none"/>
    </w:rPr>
  </w:style>
  <w:style w:type="character" w:customStyle="1" w:styleId="Heading5Char">
    <w:name w:val="Heading 5 Char"/>
    <w:basedOn w:val="DefaultParagraphFont"/>
    <w:link w:val="Heading5"/>
    <w:uiPriority w:val="9"/>
    <w:semiHidden/>
    <w:rsid w:val="001C2B22"/>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1C2B22"/>
    <w:rPr>
      <w:rFonts w:ascii="Times New Roman" w:eastAsiaTheme="minorEastAsia" w:hAnsi="Times New Roman"/>
      <w:spacing w:val="-3"/>
      <w:kern w:val="0"/>
      <w14:ligatures w14:val="none"/>
    </w:rPr>
  </w:style>
  <w:style w:type="character" w:customStyle="1" w:styleId="Heading7Char">
    <w:name w:val="Heading 7 Char"/>
    <w:basedOn w:val="DefaultParagraphFont"/>
    <w:link w:val="Heading7"/>
    <w:rsid w:val="001C2B22"/>
    <w:rPr>
      <w:rFonts w:ascii="Times New Roman" w:eastAsiaTheme="minorEastAsia" w:hAnsi="Times New Roman"/>
      <w:spacing w:val="-3"/>
      <w:kern w:val="0"/>
      <w14:ligatures w14:val="none"/>
    </w:rPr>
  </w:style>
  <w:style w:type="character" w:customStyle="1" w:styleId="Heading8Char">
    <w:name w:val="Heading 8 Char"/>
    <w:basedOn w:val="DefaultParagraphFont"/>
    <w:link w:val="Heading8"/>
    <w:rsid w:val="001C2B22"/>
    <w:rPr>
      <w:rFonts w:ascii="Arial" w:eastAsiaTheme="minorEastAsia" w:hAnsi="Arial"/>
      <w:i/>
      <w:spacing w:val="-2"/>
      <w:kern w:val="0"/>
      <w14:ligatures w14:val="none"/>
    </w:rPr>
  </w:style>
  <w:style w:type="character" w:customStyle="1" w:styleId="Heading9Char">
    <w:name w:val="Heading 9 Char"/>
    <w:basedOn w:val="DefaultParagraphFont"/>
    <w:link w:val="Heading9"/>
    <w:rsid w:val="001C2B22"/>
    <w:rPr>
      <w:rFonts w:ascii="Arial" w:eastAsiaTheme="minorEastAsia" w:hAnsi="Arial"/>
      <w:i/>
      <w:spacing w:val="-2"/>
      <w:kern w:val="0"/>
      <w:sz w:val="18"/>
      <w14:ligatures w14:val="none"/>
    </w:rPr>
  </w:style>
  <w:style w:type="numbering" w:customStyle="1" w:styleId="ImportedStyle1">
    <w:name w:val="Imported Style 1"/>
    <w:rsid w:val="001C2B22"/>
  </w:style>
  <w:style w:type="character" w:styleId="LineNumber">
    <w:name w:val="line number"/>
    <w:basedOn w:val="DefaultParagraphFont"/>
    <w:uiPriority w:val="99"/>
    <w:semiHidden/>
    <w:unhideWhenUsed/>
    <w:rsid w:val="001C2B22"/>
  </w:style>
  <w:style w:type="character" w:customStyle="1" w:styleId="Mention1">
    <w:name w:val="Mention1"/>
    <w:basedOn w:val="DefaultParagraphFont"/>
    <w:uiPriority w:val="99"/>
    <w:semiHidden/>
    <w:unhideWhenUsed/>
    <w:rsid w:val="001C2B22"/>
    <w:rPr>
      <w:color w:val="2B579A"/>
      <w:shd w:val="clear" w:color="auto" w:fill="E6E6E6"/>
    </w:rPr>
  </w:style>
  <w:style w:type="character" w:customStyle="1" w:styleId="Mention2">
    <w:name w:val="Mention2"/>
    <w:basedOn w:val="DefaultParagraphFont"/>
    <w:uiPriority w:val="99"/>
    <w:semiHidden/>
    <w:unhideWhenUsed/>
    <w:rsid w:val="001C2B22"/>
    <w:rPr>
      <w:color w:val="2B579A"/>
      <w:shd w:val="clear" w:color="auto" w:fill="E6E6E6"/>
    </w:rPr>
  </w:style>
  <w:style w:type="paragraph" w:styleId="NoSpacing">
    <w:name w:val="No Spacing"/>
    <w:link w:val="NoSpacingChar"/>
    <w:uiPriority w:val="1"/>
    <w:qFormat/>
    <w:rsid w:val="001C2B22"/>
    <w:rPr>
      <w:rFonts w:ascii="Times New Roman" w:hAnsi="Times New Roman"/>
      <w:kern w:val="0"/>
      <w:szCs w:val="22"/>
      <w14:ligatures w14:val="none"/>
    </w:rPr>
  </w:style>
  <w:style w:type="character" w:customStyle="1" w:styleId="NoSpacingChar">
    <w:name w:val="No Spacing Char"/>
    <w:basedOn w:val="DefaultParagraphFont"/>
    <w:link w:val="NoSpacing"/>
    <w:uiPriority w:val="1"/>
    <w:rsid w:val="001C2B22"/>
    <w:rPr>
      <w:rFonts w:ascii="Times New Roman" w:hAnsi="Times New Roman"/>
      <w:kern w:val="0"/>
      <w:szCs w:val="22"/>
      <w14:ligatures w14:val="none"/>
    </w:rPr>
  </w:style>
  <w:style w:type="paragraph" w:styleId="NormalWeb">
    <w:name w:val="Normal (Web)"/>
    <w:basedOn w:val="Normal"/>
    <w:uiPriority w:val="99"/>
    <w:unhideWhenUsed/>
    <w:rsid w:val="001C2B22"/>
    <w:pPr>
      <w:spacing w:before="100" w:beforeAutospacing="1" w:after="100" w:afterAutospacing="1"/>
    </w:pPr>
    <w:rPr>
      <w:rFonts w:eastAsia="Times New Roman"/>
    </w:rPr>
  </w:style>
  <w:style w:type="paragraph" w:customStyle="1" w:styleId="NoteLevel11">
    <w:name w:val="Note Level 11"/>
    <w:basedOn w:val="Normal"/>
    <w:uiPriority w:val="99"/>
    <w:semiHidden/>
    <w:unhideWhenUsed/>
    <w:rsid w:val="001C2B22"/>
    <w:pPr>
      <w:keepNext/>
      <w:tabs>
        <w:tab w:val="num" w:pos="360"/>
      </w:tabs>
      <w:contextualSpacing/>
      <w:outlineLvl w:val="0"/>
    </w:pPr>
  </w:style>
  <w:style w:type="paragraph" w:customStyle="1" w:styleId="NoteLevel21">
    <w:name w:val="Note Level 21"/>
    <w:basedOn w:val="Normal"/>
    <w:uiPriority w:val="99"/>
    <w:semiHidden/>
    <w:unhideWhenUsed/>
    <w:rsid w:val="001C2B22"/>
    <w:pPr>
      <w:keepNext/>
      <w:contextualSpacing/>
      <w:outlineLvl w:val="1"/>
    </w:pPr>
  </w:style>
  <w:style w:type="paragraph" w:customStyle="1" w:styleId="NoteLevel31">
    <w:name w:val="Note Level 31"/>
    <w:basedOn w:val="Normal"/>
    <w:uiPriority w:val="99"/>
    <w:semiHidden/>
    <w:unhideWhenUsed/>
    <w:rsid w:val="001C2B22"/>
    <w:pPr>
      <w:keepNext/>
      <w:contextualSpacing/>
      <w:outlineLvl w:val="2"/>
    </w:pPr>
  </w:style>
  <w:style w:type="paragraph" w:customStyle="1" w:styleId="NoteLevel41">
    <w:name w:val="Note Level 41"/>
    <w:basedOn w:val="Normal"/>
    <w:uiPriority w:val="99"/>
    <w:semiHidden/>
    <w:unhideWhenUsed/>
    <w:rsid w:val="001C2B22"/>
    <w:pPr>
      <w:keepNext/>
      <w:contextualSpacing/>
      <w:outlineLvl w:val="3"/>
    </w:pPr>
  </w:style>
  <w:style w:type="paragraph" w:customStyle="1" w:styleId="NoteLevel51">
    <w:name w:val="Note Level 51"/>
    <w:basedOn w:val="Normal"/>
    <w:uiPriority w:val="99"/>
    <w:semiHidden/>
    <w:unhideWhenUsed/>
    <w:rsid w:val="001C2B22"/>
    <w:pPr>
      <w:keepNext/>
      <w:contextualSpacing/>
      <w:outlineLvl w:val="4"/>
    </w:pPr>
  </w:style>
  <w:style w:type="paragraph" w:customStyle="1" w:styleId="NoteLevel61">
    <w:name w:val="Note Level 61"/>
    <w:basedOn w:val="Normal"/>
    <w:uiPriority w:val="99"/>
    <w:semiHidden/>
    <w:unhideWhenUsed/>
    <w:rsid w:val="001C2B22"/>
    <w:pPr>
      <w:keepNext/>
      <w:contextualSpacing/>
      <w:outlineLvl w:val="5"/>
    </w:pPr>
  </w:style>
  <w:style w:type="paragraph" w:customStyle="1" w:styleId="NoteLevel71">
    <w:name w:val="Note Level 71"/>
    <w:basedOn w:val="Normal"/>
    <w:uiPriority w:val="99"/>
    <w:semiHidden/>
    <w:unhideWhenUsed/>
    <w:rsid w:val="001C2B22"/>
    <w:pPr>
      <w:keepNext/>
      <w:contextualSpacing/>
      <w:outlineLvl w:val="6"/>
    </w:pPr>
  </w:style>
  <w:style w:type="paragraph" w:customStyle="1" w:styleId="NoteLevel81">
    <w:name w:val="Note Level 81"/>
    <w:basedOn w:val="Normal"/>
    <w:uiPriority w:val="99"/>
    <w:semiHidden/>
    <w:unhideWhenUsed/>
    <w:rsid w:val="001C2B22"/>
    <w:pPr>
      <w:keepNext/>
      <w:contextualSpacing/>
      <w:outlineLvl w:val="7"/>
    </w:pPr>
  </w:style>
  <w:style w:type="paragraph" w:customStyle="1" w:styleId="NoteLevel91">
    <w:name w:val="Note Level 91"/>
    <w:basedOn w:val="Normal"/>
    <w:uiPriority w:val="99"/>
    <w:semiHidden/>
    <w:unhideWhenUsed/>
    <w:rsid w:val="001C2B22"/>
    <w:pPr>
      <w:keepNext/>
      <w:contextualSpacing/>
      <w:outlineLvl w:val="8"/>
    </w:pPr>
  </w:style>
  <w:style w:type="paragraph" w:customStyle="1" w:styleId="NumberingText">
    <w:name w:val="Numbering Text"/>
    <w:autoRedefine/>
    <w:qFormat/>
    <w:rsid w:val="001C2B22"/>
    <w:rPr>
      <w:rFonts w:ascii="Times New Roman" w:eastAsia="SimSun" w:hAnsi="Times New Roman"/>
      <w:kern w:val="0"/>
      <w14:ligatures w14:val="none"/>
    </w:rPr>
  </w:style>
  <w:style w:type="numbering" w:customStyle="1" w:styleId="OutlineNumbering">
    <w:name w:val="Outline Numbering"/>
    <w:basedOn w:val="NoList"/>
    <w:uiPriority w:val="99"/>
    <w:rsid w:val="001C2B22"/>
  </w:style>
  <w:style w:type="character" w:styleId="PageNumber">
    <w:name w:val="page number"/>
    <w:rsid w:val="001C2B22"/>
  </w:style>
  <w:style w:type="character" w:customStyle="1" w:styleId="pagerange">
    <w:name w:val="page_range"/>
    <w:basedOn w:val="DefaultParagraphFont"/>
    <w:rsid w:val="001C2B22"/>
  </w:style>
  <w:style w:type="paragraph" w:customStyle="1" w:styleId="paragraph">
    <w:name w:val="paragraph"/>
    <w:basedOn w:val="Normal"/>
    <w:rsid w:val="001C2B22"/>
    <w:pPr>
      <w:spacing w:before="100" w:beforeAutospacing="1" w:after="100" w:afterAutospacing="1"/>
    </w:pPr>
    <w:rPr>
      <w:rFonts w:eastAsia="Times New Roman" w:cs="Times New Roman"/>
    </w:rPr>
  </w:style>
  <w:style w:type="paragraph" w:customStyle="1" w:styleId="ParaNum">
    <w:name w:val="ParaNum"/>
    <w:basedOn w:val="Normal"/>
    <w:rsid w:val="001C2B22"/>
    <w:pPr>
      <w:tabs>
        <w:tab w:val="num" w:pos="1440"/>
      </w:tabs>
      <w:spacing w:after="120"/>
    </w:pPr>
    <w:rPr>
      <w:rFonts w:eastAsia="Times New Roman"/>
      <w:snapToGrid w:val="0"/>
      <w:kern w:val="28"/>
      <w:sz w:val="22"/>
    </w:rPr>
  </w:style>
  <w:style w:type="character" w:customStyle="1" w:styleId="pb-byline">
    <w:name w:val="pb-byline"/>
    <w:basedOn w:val="DefaultParagraphFont"/>
    <w:rsid w:val="001C2B22"/>
  </w:style>
  <w:style w:type="character" w:customStyle="1" w:styleId="pb-timestamp">
    <w:name w:val="pb-timestamp"/>
    <w:basedOn w:val="DefaultParagraphFont"/>
    <w:rsid w:val="001C2B22"/>
  </w:style>
  <w:style w:type="paragraph" w:customStyle="1" w:styleId="PointHeading">
    <w:name w:val="Point Heading"/>
    <w:qFormat/>
    <w:rsid w:val="001C2B22"/>
    <w:pPr>
      <w:spacing w:after="240"/>
      <w:ind w:left="720" w:hanging="720"/>
    </w:pPr>
    <w:rPr>
      <w:rFonts w:ascii="Times New Roman" w:eastAsia="SimSun" w:hAnsi="Times New Roman" w:cs="Times New Roman"/>
      <w:b/>
      <w:caps/>
      <w:kern w:val="0"/>
      <w14:ligatures w14:val="none"/>
    </w:rPr>
  </w:style>
  <w:style w:type="numbering" w:customStyle="1" w:styleId="PointHeadings">
    <w:name w:val="Point Headings"/>
    <w:basedOn w:val="NoList"/>
    <w:uiPriority w:val="99"/>
    <w:rsid w:val="001C2B22"/>
  </w:style>
  <w:style w:type="paragraph" w:customStyle="1" w:styleId="SecondarySub-Heading">
    <w:name w:val="Secondary Sub-Heading"/>
    <w:qFormat/>
    <w:rsid w:val="001C2B22"/>
    <w:pPr>
      <w:spacing w:before="60"/>
    </w:pPr>
    <w:rPr>
      <w:rFonts w:ascii="Times New Roman" w:eastAsia="SimSun" w:hAnsi="Times New Roman" w:cs="Times New Roman"/>
      <w:b/>
      <w:kern w:val="0"/>
      <w14:ligatures w14:val="none"/>
    </w:rPr>
  </w:style>
  <w:style w:type="paragraph" w:styleId="Signature">
    <w:name w:val="Signature"/>
    <w:basedOn w:val="Normal"/>
    <w:next w:val="TOCHeading"/>
    <w:link w:val="SignatureChar"/>
    <w:rsid w:val="001C2B22"/>
    <w:pPr>
      <w:spacing w:after="360" w:line="276" w:lineRule="auto"/>
      <w:jc w:val="both"/>
    </w:pPr>
    <w:rPr>
      <w:rFonts w:eastAsia="Calibri" w:cs="Times New Roman"/>
      <w:b/>
      <w:bCs/>
      <w:kern w:val="28"/>
      <w:sz w:val="28"/>
      <w:szCs w:val="28"/>
    </w:rPr>
  </w:style>
  <w:style w:type="character" w:customStyle="1" w:styleId="SignatureChar">
    <w:name w:val="Signature Char"/>
    <w:link w:val="Signature"/>
    <w:rsid w:val="001C2B22"/>
    <w:rPr>
      <w:rFonts w:ascii="Times New Roman" w:eastAsia="Calibri" w:hAnsi="Times New Roman" w:cs="Times New Roman"/>
      <w:b/>
      <w:bCs/>
      <w:kern w:val="28"/>
      <w:sz w:val="28"/>
      <w:szCs w:val="28"/>
      <w14:ligatures w14:val="none"/>
    </w:rPr>
  </w:style>
  <w:style w:type="paragraph" w:styleId="TOCHeading">
    <w:name w:val="TOC Heading"/>
    <w:basedOn w:val="Heading1"/>
    <w:next w:val="Normal"/>
    <w:uiPriority w:val="39"/>
    <w:unhideWhenUsed/>
    <w:qFormat/>
    <w:rsid w:val="001C2B22"/>
    <w:pPr>
      <w:outlineLvl w:val="9"/>
    </w:pPr>
  </w:style>
  <w:style w:type="character" w:customStyle="1" w:styleId="smallcaps">
    <w:name w:val="smallcaps"/>
    <w:basedOn w:val="DefaultParagraphFont"/>
    <w:rsid w:val="001C2B22"/>
  </w:style>
  <w:style w:type="character" w:customStyle="1" w:styleId="spellingerror">
    <w:name w:val="spellingerror"/>
    <w:basedOn w:val="DefaultParagraphFont"/>
    <w:rsid w:val="001C2B22"/>
  </w:style>
  <w:style w:type="character" w:styleId="Strong">
    <w:name w:val="Strong"/>
    <w:basedOn w:val="DefaultParagraphFont"/>
    <w:uiPriority w:val="22"/>
    <w:qFormat/>
    <w:rsid w:val="001C2B22"/>
    <w:rPr>
      <w:b/>
      <w:bCs/>
    </w:rPr>
  </w:style>
  <w:style w:type="paragraph" w:styleId="Subtitle">
    <w:name w:val="Subtitle"/>
    <w:basedOn w:val="Normal"/>
    <w:next w:val="Normal"/>
    <w:link w:val="SubtitleChar"/>
    <w:uiPriority w:val="11"/>
    <w:qFormat/>
    <w:rsid w:val="001C2B2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C2B22"/>
    <w:rPr>
      <w:rFonts w:ascii="Georgia" w:eastAsia="Georgia" w:hAnsi="Georgia" w:cs="Georgia"/>
      <w:i/>
      <w:color w:val="666666"/>
      <w:kern w:val="0"/>
      <w:sz w:val="48"/>
      <w:szCs w:val="48"/>
      <w14:ligatures w14:val="none"/>
    </w:rPr>
  </w:style>
  <w:style w:type="table" w:styleId="TableGrid">
    <w:name w:val="Table Grid"/>
    <w:basedOn w:val="TableNormal"/>
    <w:uiPriority w:val="59"/>
    <w:rsid w:val="001C2B22"/>
    <w:rPr>
      <w:rFonts w:ascii="Arial" w:eastAsia="Arial" w:hAnsi="Arial"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Signature"/>
    <w:link w:val="TitleChar"/>
    <w:uiPriority w:val="10"/>
    <w:qFormat/>
    <w:rsid w:val="001C2B22"/>
    <w:pPr>
      <w:spacing w:after="360" w:line="276" w:lineRule="auto"/>
      <w:outlineLvl w:val="0"/>
    </w:pPr>
    <w:rPr>
      <w:rFonts w:eastAsia="MS Gothic" w:cs="Times New Roman"/>
      <w:b/>
      <w:bCs/>
      <w:kern w:val="40"/>
      <w:sz w:val="40"/>
      <w:szCs w:val="40"/>
    </w:rPr>
  </w:style>
  <w:style w:type="character" w:customStyle="1" w:styleId="TitleChar">
    <w:name w:val="Title Char"/>
    <w:link w:val="Title"/>
    <w:uiPriority w:val="10"/>
    <w:rsid w:val="001C2B22"/>
    <w:rPr>
      <w:rFonts w:ascii="Times New Roman" w:eastAsia="MS Gothic" w:hAnsi="Times New Roman" w:cs="Times New Roman"/>
      <w:b/>
      <w:bCs/>
      <w:kern w:val="40"/>
      <w:sz w:val="40"/>
      <w:szCs w:val="40"/>
      <w14:ligatures w14:val="none"/>
    </w:rPr>
  </w:style>
  <w:style w:type="paragraph" w:styleId="TOC1">
    <w:name w:val="toc 1"/>
    <w:basedOn w:val="Normal"/>
    <w:next w:val="Normal"/>
    <w:uiPriority w:val="39"/>
    <w:qFormat/>
    <w:rsid w:val="001C2B22"/>
    <w:pPr>
      <w:tabs>
        <w:tab w:val="right" w:pos="426"/>
        <w:tab w:val="left" w:pos="540"/>
        <w:tab w:val="right" w:leader="dot" w:pos="6674"/>
      </w:tabs>
      <w:spacing w:after="100" w:line="276" w:lineRule="auto"/>
      <w:ind w:left="540" w:hanging="540"/>
    </w:pPr>
    <w:rPr>
      <w:rFonts w:eastAsia="Calibri" w:cs="Times New Roman"/>
      <w:smallCaps/>
      <w:noProof/>
      <w:sz w:val="22"/>
      <w:szCs w:val="22"/>
    </w:rPr>
  </w:style>
  <w:style w:type="paragraph" w:styleId="TOC2">
    <w:name w:val="toc 2"/>
    <w:basedOn w:val="Normal"/>
    <w:next w:val="Normal"/>
    <w:autoRedefine/>
    <w:uiPriority w:val="39"/>
    <w:qFormat/>
    <w:rsid w:val="001C2B22"/>
    <w:pPr>
      <w:keepNext/>
      <w:tabs>
        <w:tab w:val="left" w:pos="900"/>
        <w:tab w:val="right" w:leader="dot" w:pos="6663"/>
      </w:tabs>
      <w:spacing w:after="100" w:line="276" w:lineRule="auto"/>
      <w:ind w:left="907" w:hanging="360"/>
    </w:pPr>
    <w:rPr>
      <w:rFonts w:eastAsia="Calibri" w:cs="Times New Roman"/>
      <w:i/>
      <w:noProof/>
      <w:sz w:val="22"/>
      <w:szCs w:val="22"/>
    </w:rPr>
  </w:style>
  <w:style w:type="paragraph" w:styleId="TOC3">
    <w:name w:val="toc 3"/>
    <w:basedOn w:val="Normal"/>
    <w:next w:val="Normal"/>
    <w:uiPriority w:val="39"/>
    <w:qFormat/>
    <w:rsid w:val="001C2B22"/>
    <w:pPr>
      <w:tabs>
        <w:tab w:val="right" w:leader="dot" w:pos="6663"/>
      </w:tabs>
      <w:spacing w:after="100" w:line="276" w:lineRule="auto"/>
      <w:ind w:left="1260" w:right="431" w:hanging="360"/>
      <w:contextualSpacing/>
    </w:pPr>
    <w:rPr>
      <w:noProof/>
      <w:sz w:val="22"/>
      <w:szCs w:val="22"/>
    </w:rPr>
  </w:style>
  <w:style w:type="paragraph" w:styleId="TOC4">
    <w:name w:val="toc 4"/>
    <w:basedOn w:val="Normal"/>
    <w:next w:val="Normal"/>
    <w:uiPriority w:val="39"/>
    <w:rsid w:val="001C2B22"/>
    <w:pPr>
      <w:tabs>
        <w:tab w:val="left" w:leader="dot" w:pos="432"/>
        <w:tab w:val="left" w:pos="864"/>
        <w:tab w:val="left" w:pos="1296"/>
        <w:tab w:val="right" w:leader="dot" w:pos="6610"/>
      </w:tabs>
      <w:ind w:left="1728" w:right="432" w:hanging="432"/>
    </w:pPr>
    <w:rPr>
      <w:i/>
      <w:sz w:val="22"/>
    </w:rPr>
  </w:style>
  <w:style w:type="paragraph" w:styleId="TOC5">
    <w:name w:val="toc 5"/>
    <w:basedOn w:val="Normal"/>
    <w:next w:val="Normal"/>
    <w:autoRedefine/>
    <w:uiPriority w:val="39"/>
    <w:unhideWhenUsed/>
    <w:rsid w:val="001C2B22"/>
    <w:pPr>
      <w:ind w:left="960"/>
    </w:pPr>
    <w:rPr>
      <w:rFonts w:ascii="Cambria" w:hAnsi="Cambria"/>
      <w:sz w:val="20"/>
      <w:szCs w:val="20"/>
    </w:rPr>
  </w:style>
  <w:style w:type="paragraph" w:styleId="TOC6">
    <w:name w:val="toc 6"/>
    <w:basedOn w:val="Normal"/>
    <w:next w:val="Normal"/>
    <w:autoRedefine/>
    <w:uiPriority w:val="39"/>
    <w:unhideWhenUsed/>
    <w:rsid w:val="001C2B22"/>
    <w:pPr>
      <w:ind w:left="1200"/>
    </w:pPr>
    <w:rPr>
      <w:rFonts w:ascii="Cambria" w:hAnsi="Cambria"/>
      <w:sz w:val="20"/>
      <w:szCs w:val="20"/>
    </w:rPr>
  </w:style>
  <w:style w:type="paragraph" w:styleId="TOC7">
    <w:name w:val="toc 7"/>
    <w:basedOn w:val="Normal"/>
    <w:next w:val="Normal"/>
    <w:autoRedefine/>
    <w:uiPriority w:val="39"/>
    <w:unhideWhenUsed/>
    <w:rsid w:val="001C2B22"/>
    <w:pPr>
      <w:ind w:left="1440"/>
    </w:pPr>
    <w:rPr>
      <w:rFonts w:ascii="Cambria" w:hAnsi="Cambria"/>
      <w:sz w:val="20"/>
      <w:szCs w:val="20"/>
    </w:rPr>
  </w:style>
  <w:style w:type="paragraph" w:styleId="TOC8">
    <w:name w:val="toc 8"/>
    <w:basedOn w:val="Normal"/>
    <w:next w:val="Normal"/>
    <w:autoRedefine/>
    <w:uiPriority w:val="39"/>
    <w:unhideWhenUsed/>
    <w:rsid w:val="001C2B22"/>
    <w:pPr>
      <w:ind w:left="1680"/>
    </w:pPr>
    <w:rPr>
      <w:rFonts w:ascii="Cambria" w:hAnsi="Cambria"/>
      <w:sz w:val="20"/>
      <w:szCs w:val="20"/>
    </w:rPr>
  </w:style>
  <w:style w:type="paragraph" w:styleId="TOC9">
    <w:name w:val="toc 9"/>
    <w:basedOn w:val="Normal"/>
    <w:next w:val="Normal"/>
    <w:autoRedefine/>
    <w:uiPriority w:val="39"/>
    <w:unhideWhenUsed/>
    <w:rsid w:val="001C2B22"/>
    <w:pPr>
      <w:ind w:left="1920"/>
    </w:pPr>
    <w:rPr>
      <w:rFonts w:ascii="Cambria" w:hAnsi="Cambria"/>
      <w:sz w:val="20"/>
      <w:szCs w:val="20"/>
    </w:rPr>
  </w:style>
  <w:style w:type="character" w:customStyle="1" w:styleId="UnresolvedMention2">
    <w:name w:val="Unresolved Mention2"/>
    <w:basedOn w:val="DefaultParagraphFont"/>
    <w:uiPriority w:val="99"/>
    <w:semiHidden/>
    <w:unhideWhenUsed/>
    <w:rsid w:val="001C2B22"/>
    <w:rPr>
      <w:color w:val="808080"/>
      <w:shd w:val="clear" w:color="auto" w:fill="E6E6E6"/>
    </w:rPr>
  </w:style>
  <w:style w:type="character" w:customStyle="1" w:styleId="volumeissue">
    <w:name w:val="volume_issue"/>
    <w:basedOn w:val="DefaultParagraphFont"/>
    <w:rsid w:val="001C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943">
      <w:bodyDiv w:val="1"/>
      <w:marLeft w:val="0"/>
      <w:marRight w:val="0"/>
      <w:marTop w:val="0"/>
      <w:marBottom w:val="0"/>
      <w:divBdr>
        <w:top w:val="none" w:sz="0" w:space="0" w:color="auto"/>
        <w:left w:val="none" w:sz="0" w:space="0" w:color="auto"/>
        <w:bottom w:val="none" w:sz="0" w:space="0" w:color="auto"/>
        <w:right w:val="none" w:sz="0" w:space="0" w:color="auto"/>
      </w:divBdr>
      <w:divsChild>
        <w:div w:id="427166254">
          <w:marLeft w:val="0"/>
          <w:marRight w:val="0"/>
          <w:marTop w:val="0"/>
          <w:marBottom w:val="0"/>
          <w:divBdr>
            <w:top w:val="none" w:sz="0" w:space="0" w:color="3D3D3D"/>
            <w:left w:val="none" w:sz="0" w:space="0" w:color="3D3D3D"/>
            <w:bottom w:val="none" w:sz="0" w:space="0" w:color="3D3D3D"/>
            <w:right w:val="none" w:sz="0" w:space="0" w:color="3D3D3D"/>
          </w:divBdr>
          <w:divsChild>
            <w:div w:id="1548682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762889">
      <w:bodyDiv w:val="1"/>
      <w:marLeft w:val="0"/>
      <w:marRight w:val="0"/>
      <w:marTop w:val="0"/>
      <w:marBottom w:val="0"/>
      <w:divBdr>
        <w:top w:val="none" w:sz="0" w:space="0" w:color="auto"/>
        <w:left w:val="none" w:sz="0" w:space="0" w:color="auto"/>
        <w:bottom w:val="none" w:sz="0" w:space="0" w:color="auto"/>
        <w:right w:val="none" w:sz="0" w:space="0" w:color="auto"/>
      </w:divBdr>
      <w:divsChild>
        <w:div w:id="1159076416">
          <w:marLeft w:val="0"/>
          <w:marRight w:val="0"/>
          <w:marTop w:val="0"/>
          <w:marBottom w:val="0"/>
          <w:divBdr>
            <w:top w:val="none" w:sz="0" w:space="0" w:color="3D3D3D"/>
            <w:left w:val="none" w:sz="0" w:space="0" w:color="3D3D3D"/>
            <w:bottom w:val="none" w:sz="0" w:space="0" w:color="3D3D3D"/>
            <w:right w:val="none" w:sz="0" w:space="0" w:color="3D3D3D"/>
          </w:divBdr>
          <w:divsChild>
            <w:div w:id="175920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6525018">
      <w:bodyDiv w:val="1"/>
      <w:marLeft w:val="0"/>
      <w:marRight w:val="0"/>
      <w:marTop w:val="0"/>
      <w:marBottom w:val="0"/>
      <w:divBdr>
        <w:top w:val="none" w:sz="0" w:space="0" w:color="auto"/>
        <w:left w:val="none" w:sz="0" w:space="0" w:color="auto"/>
        <w:bottom w:val="none" w:sz="0" w:space="0" w:color="auto"/>
        <w:right w:val="none" w:sz="0" w:space="0" w:color="auto"/>
      </w:divBdr>
      <w:divsChild>
        <w:div w:id="126048826">
          <w:marLeft w:val="0"/>
          <w:marRight w:val="0"/>
          <w:marTop w:val="0"/>
          <w:marBottom w:val="0"/>
          <w:divBdr>
            <w:top w:val="none" w:sz="0" w:space="0" w:color="3D3D3D"/>
            <w:left w:val="none" w:sz="0" w:space="0" w:color="3D3D3D"/>
            <w:bottom w:val="none" w:sz="0" w:space="0" w:color="3D3D3D"/>
            <w:right w:val="none" w:sz="0" w:space="0" w:color="3D3D3D"/>
          </w:divBdr>
          <w:divsChild>
            <w:div w:id="1264359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4704215">
      <w:bodyDiv w:val="1"/>
      <w:marLeft w:val="0"/>
      <w:marRight w:val="0"/>
      <w:marTop w:val="0"/>
      <w:marBottom w:val="0"/>
      <w:divBdr>
        <w:top w:val="none" w:sz="0" w:space="0" w:color="auto"/>
        <w:left w:val="none" w:sz="0" w:space="0" w:color="auto"/>
        <w:bottom w:val="none" w:sz="0" w:space="0" w:color="auto"/>
        <w:right w:val="none" w:sz="0" w:space="0" w:color="auto"/>
      </w:divBdr>
      <w:divsChild>
        <w:div w:id="1523015240">
          <w:marLeft w:val="0"/>
          <w:marRight w:val="0"/>
          <w:marTop w:val="0"/>
          <w:marBottom w:val="0"/>
          <w:divBdr>
            <w:top w:val="none" w:sz="0" w:space="0" w:color="3D3D3D"/>
            <w:left w:val="none" w:sz="0" w:space="0" w:color="3D3D3D"/>
            <w:bottom w:val="none" w:sz="0" w:space="0" w:color="3D3D3D"/>
            <w:right w:val="none" w:sz="0" w:space="0" w:color="3D3D3D"/>
          </w:divBdr>
          <w:divsChild>
            <w:div w:id="17746698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7880655">
      <w:bodyDiv w:val="1"/>
      <w:marLeft w:val="0"/>
      <w:marRight w:val="0"/>
      <w:marTop w:val="0"/>
      <w:marBottom w:val="0"/>
      <w:divBdr>
        <w:top w:val="none" w:sz="0" w:space="0" w:color="auto"/>
        <w:left w:val="none" w:sz="0" w:space="0" w:color="auto"/>
        <w:bottom w:val="none" w:sz="0" w:space="0" w:color="auto"/>
        <w:right w:val="none" w:sz="0" w:space="0" w:color="auto"/>
      </w:divBdr>
      <w:divsChild>
        <w:div w:id="1651909848">
          <w:marLeft w:val="0"/>
          <w:marRight w:val="0"/>
          <w:marTop w:val="0"/>
          <w:marBottom w:val="0"/>
          <w:divBdr>
            <w:top w:val="none" w:sz="0" w:space="0" w:color="3D3D3D"/>
            <w:left w:val="none" w:sz="0" w:space="0" w:color="3D3D3D"/>
            <w:bottom w:val="none" w:sz="0" w:space="0" w:color="3D3D3D"/>
            <w:right w:val="none" w:sz="0" w:space="0" w:color="3D3D3D"/>
          </w:divBdr>
          <w:divsChild>
            <w:div w:id="20316830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3463519">
      <w:bodyDiv w:val="1"/>
      <w:marLeft w:val="0"/>
      <w:marRight w:val="0"/>
      <w:marTop w:val="0"/>
      <w:marBottom w:val="0"/>
      <w:divBdr>
        <w:top w:val="none" w:sz="0" w:space="0" w:color="auto"/>
        <w:left w:val="none" w:sz="0" w:space="0" w:color="auto"/>
        <w:bottom w:val="none" w:sz="0" w:space="0" w:color="auto"/>
        <w:right w:val="none" w:sz="0" w:space="0" w:color="auto"/>
      </w:divBdr>
      <w:divsChild>
        <w:div w:id="989334532">
          <w:marLeft w:val="0"/>
          <w:marRight w:val="0"/>
          <w:marTop w:val="0"/>
          <w:marBottom w:val="0"/>
          <w:divBdr>
            <w:top w:val="none" w:sz="0" w:space="0" w:color="3D3D3D"/>
            <w:left w:val="none" w:sz="0" w:space="0" w:color="3D3D3D"/>
            <w:bottom w:val="none" w:sz="0" w:space="0" w:color="3D3D3D"/>
            <w:right w:val="none" w:sz="0" w:space="0" w:color="3D3D3D"/>
          </w:divBdr>
          <w:divsChild>
            <w:div w:id="11424984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4407954">
      <w:bodyDiv w:val="1"/>
      <w:marLeft w:val="0"/>
      <w:marRight w:val="0"/>
      <w:marTop w:val="0"/>
      <w:marBottom w:val="0"/>
      <w:divBdr>
        <w:top w:val="none" w:sz="0" w:space="0" w:color="auto"/>
        <w:left w:val="none" w:sz="0" w:space="0" w:color="auto"/>
        <w:bottom w:val="none" w:sz="0" w:space="0" w:color="auto"/>
        <w:right w:val="none" w:sz="0" w:space="0" w:color="auto"/>
      </w:divBdr>
      <w:divsChild>
        <w:div w:id="1556113666">
          <w:marLeft w:val="0"/>
          <w:marRight w:val="0"/>
          <w:marTop w:val="0"/>
          <w:marBottom w:val="0"/>
          <w:divBdr>
            <w:top w:val="none" w:sz="0" w:space="0" w:color="3D3D3D"/>
            <w:left w:val="none" w:sz="0" w:space="0" w:color="3D3D3D"/>
            <w:bottom w:val="none" w:sz="0" w:space="0" w:color="3D3D3D"/>
            <w:right w:val="none" w:sz="0" w:space="0" w:color="3D3D3D"/>
          </w:divBdr>
          <w:divsChild>
            <w:div w:id="1901749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1347238">
      <w:bodyDiv w:val="1"/>
      <w:marLeft w:val="0"/>
      <w:marRight w:val="0"/>
      <w:marTop w:val="0"/>
      <w:marBottom w:val="0"/>
      <w:divBdr>
        <w:top w:val="none" w:sz="0" w:space="0" w:color="auto"/>
        <w:left w:val="none" w:sz="0" w:space="0" w:color="auto"/>
        <w:bottom w:val="none" w:sz="0" w:space="0" w:color="auto"/>
        <w:right w:val="none" w:sz="0" w:space="0" w:color="auto"/>
      </w:divBdr>
      <w:divsChild>
        <w:div w:id="772362259">
          <w:marLeft w:val="0"/>
          <w:marRight w:val="0"/>
          <w:marTop w:val="0"/>
          <w:marBottom w:val="0"/>
          <w:divBdr>
            <w:top w:val="none" w:sz="0" w:space="0" w:color="3D3D3D"/>
            <w:left w:val="none" w:sz="0" w:space="0" w:color="3D3D3D"/>
            <w:bottom w:val="none" w:sz="0" w:space="0" w:color="3D3D3D"/>
            <w:right w:val="none" w:sz="0" w:space="0" w:color="3D3D3D"/>
          </w:divBdr>
          <w:divsChild>
            <w:div w:id="18915700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7266687">
      <w:bodyDiv w:val="1"/>
      <w:marLeft w:val="0"/>
      <w:marRight w:val="0"/>
      <w:marTop w:val="0"/>
      <w:marBottom w:val="0"/>
      <w:divBdr>
        <w:top w:val="none" w:sz="0" w:space="0" w:color="auto"/>
        <w:left w:val="none" w:sz="0" w:space="0" w:color="auto"/>
        <w:bottom w:val="none" w:sz="0" w:space="0" w:color="auto"/>
        <w:right w:val="none" w:sz="0" w:space="0" w:color="auto"/>
      </w:divBdr>
      <w:divsChild>
        <w:div w:id="226231323">
          <w:marLeft w:val="0"/>
          <w:marRight w:val="0"/>
          <w:marTop w:val="0"/>
          <w:marBottom w:val="0"/>
          <w:divBdr>
            <w:top w:val="none" w:sz="0" w:space="0" w:color="3D3D3D"/>
            <w:left w:val="none" w:sz="0" w:space="0" w:color="3D3D3D"/>
            <w:bottom w:val="none" w:sz="0" w:space="0" w:color="3D3D3D"/>
            <w:right w:val="none" w:sz="0" w:space="0" w:color="3D3D3D"/>
          </w:divBdr>
          <w:divsChild>
            <w:div w:id="1110196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8765671">
      <w:bodyDiv w:val="1"/>
      <w:marLeft w:val="0"/>
      <w:marRight w:val="0"/>
      <w:marTop w:val="0"/>
      <w:marBottom w:val="0"/>
      <w:divBdr>
        <w:top w:val="none" w:sz="0" w:space="0" w:color="auto"/>
        <w:left w:val="none" w:sz="0" w:space="0" w:color="auto"/>
        <w:bottom w:val="none" w:sz="0" w:space="0" w:color="auto"/>
        <w:right w:val="none" w:sz="0" w:space="0" w:color="auto"/>
      </w:divBdr>
      <w:divsChild>
        <w:div w:id="1692217121">
          <w:marLeft w:val="0"/>
          <w:marRight w:val="0"/>
          <w:marTop w:val="0"/>
          <w:marBottom w:val="0"/>
          <w:divBdr>
            <w:top w:val="none" w:sz="0" w:space="0" w:color="auto"/>
            <w:left w:val="none" w:sz="0" w:space="0" w:color="auto"/>
            <w:bottom w:val="none" w:sz="0" w:space="0" w:color="auto"/>
            <w:right w:val="none" w:sz="0" w:space="0" w:color="auto"/>
          </w:divBdr>
          <w:divsChild>
            <w:div w:id="2071997309">
              <w:marLeft w:val="0"/>
              <w:marRight w:val="0"/>
              <w:marTop w:val="0"/>
              <w:marBottom w:val="0"/>
              <w:divBdr>
                <w:top w:val="none" w:sz="0" w:space="0" w:color="auto"/>
                <w:left w:val="none" w:sz="0" w:space="0" w:color="auto"/>
                <w:bottom w:val="none" w:sz="0" w:space="0" w:color="auto"/>
                <w:right w:val="none" w:sz="0" w:space="0" w:color="auto"/>
              </w:divBdr>
              <w:divsChild>
                <w:div w:id="15456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6414">
      <w:bodyDiv w:val="1"/>
      <w:marLeft w:val="0"/>
      <w:marRight w:val="0"/>
      <w:marTop w:val="0"/>
      <w:marBottom w:val="0"/>
      <w:divBdr>
        <w:top w:val="none" w:sz="0" w:space="0" w:color="auto"/>
        <w:left w:val="none" w:sz="0" w:space="0" w:color="auto"/>
        <w:bottom w:val="none" w:sz="0" w:space="0" w:color="auto"/>
        <w:right w:val="none" w:sz="0" w:space="0" w:color="auto"/>
      </w:divBdr>
    </w:div>
    <w:div w:id="495002763">
      <w:bodyDiv w:val="1"/>
      <w:marLeft w:val="0"/>
      <w:marRight w:val="0"/>
      <w:marTop w:val="0"/>
      <w:marBottom w:val="0"/>
      <w:divBdr>
        <w:top w:val="none" w:sz="0" w:space="0" w:color="auto"/>
        <w:left w:val="none" w:sz="0" w:space="0" w:color="auto"/>
        <w:bottom w:val="none" w:sz="0" w:space="0" w:color="auto"/>
        <w:right w:val="none" w:sz="0" w:space="0" w:color="auto"/>
      </w:divBdr>
      <w:divsChild>
        <w:div w:id="618342320">
          <w:marLeft w:val="0"/>
          <w:marRight w:val="0"/>
          <w:marTop w:val="0"/>
          <w:marBottom w:val="0"/>
          <w:divBdr>
            <w:top w:val="none" w:sz="0" w:space="0" w:color="3D3D3D"/>
            <w:left w:val="none" w:sz="0" w:space="0" w:color="3D3D3D"/>
            <w:bottom w:val="none" w:sz="0" w:space="0" w:color="3D3D3D"/>
            <w:right w:val="none" w:sz="0" w:space="0" w:color="3D3D3D"/>
          </w:divBdr>
          <w:divsChild>
            <w:div w:id="15263651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9752840">
      <w:bodyDiv w:val="1"/>
      <w:marLeft w:val="0"/>
      <w:marRight w:val="0"/>
      <w:marTop w:val="0"/>
      <w:marBottom w:val="0"/>
      <w:divBdr>
        <w:top w:val="none" w:sz="0" w:space="0" w:color="auto"/>
        <w:left w:val="none" w:sz="0" w:space="0" w:color="auto"/>
        <w:bottom w:val="none" w:sz="0" w:space="0" w:color="auto"/>
        <w:right w:val="none" w:sz="0" w:space="0" w:color="auto"/>
      </w:divBdr>
      <w:divsChild>
        <w:div w:id="1654917698">
          <w:marLeft w:val="0"/>
          <w:marRight w:val="0"/>
          <w:marTop w:val="0"/>
          <w:marBottom w:val="0"/>
          <w:divBdr>
            <w:top w:val="none" w:sz="0" w:space="0" w:color="3D3D3D"/>
            <w:left w:val="none" w:sz="0" w:space="0" w:color="3D3D3D"/>
            <w:bottom w:val="none" w:sz="0" w:space="0" w:color="3D3D3D"/>
            <w:right w:val="none" w:sz="0" w:space="0" w:color="3D3D3D"/>
          </w:divBdr>
          <w:divsChild>
            <w:div w:id="274748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9319404">
      <w:bodyDiv w:val="1"/>
      <w:marLeft w:val="0"/>
      <w:marRight w:val="0"/>
      <w:marTop w:val="0"/>
      <w:marBottom w:val="0"/>
      <w:divBdr>
        <w:top w:val="none" w:sz="0" w:space="0" w:color="auto"/>
        <w:left w:val="none" w:sz="0" w:space="0" w:color="auto"/>
        <w:bottom w:val="none" w:sz="0" w:space="0" w:color="auto"/>
        <w:right w:val="none" w:sz="0" w:space="0" w:color="auto"/>
      </w:divBdr>
      <w:divsChild>
        <w:div w:id="133185408">
          <w:marLeft w:val="0"/>
          <w:marRight w:val="0"/>
          <w:marTop w:val="0"/>
          <w:marBottom w:val="0"/>
          <w:divBdr>
            <w:top w:val="none" w:sz="0" w:space="0" w:color="3D3D3D"/>
            <w:left w:val="none" w:sz="0" w:space="0" w:color="3D3D3D"/>
            <w:bottom w:val="none" w:sz="0" w:space="0" w:color="3D3D3D"/>
            <w:right w:val="none" w:sz="0" w:space="0" w:color="3D3D3D"/>
          </w:divBdr>
          <w:divsChild>
            <w:div w:id="1509058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0650517">
      <w:bodyDiv w:val="1"/>
      <w:marLeft w:val="0"/>
      <w:marRight w:val="0"/>
      <w:marTop w:val="0"/>
      <w:marBottom w:val="0"/>
      <w:divBdr>
        <w:top w:val="none" w:sz="0" w:space="0" w:color="auto"/>
        <w:left w:val="none" w:sz="0" w:space="0" w:color="auto"/>
        <w:bottom w:val="none" w:sz="0" w:space="0" w:color="auto"/>
        <w:right w:val="none" w:sz="0" w:space="0" w:color="auto"/>
      </w:divBdr>
      <w:divsChild>
        <w:div w:id="937103829">
          <w:marLeft w:val="0"/>
          <w:marRight w:val="0"/>
          <w:marTop w:val="0"/>
          <w:marBottom w:val="0"/>
          <w:divBdr>
            <w:top w:val="none" w:sz="0" w:space="0" w:color="3D3D3D"/>
            <w:left w:val="none" w:sz="0" w:space="0" w:color="3D3D3D"/>
            <w:bottom w:val="none" w:sz="0" w:space="0" w:color="3D3D3D"/>
            <w:right w:val="none" w:sz="0" w:space="0" w:color="3D3D3D"/>
          </w:divBdr>
          <w:divsChild>
            <w:div w:id="17777524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8559260">
      <w:bodyDiv w:val="1"/>
      <w:marLeft w:val="0"/>
      <w:marRight w:val="0"/>
      <w:marTop w:val="0"/>
      <w:marBottom w:val="0"/>
      <w:divBdr>
        <w:top w:val="none" w:sz="0" w:space="0" w:color="auto"/>
        <w:left w:val="none" w:sz="0" w:space="0" w:color="auto"/>
        <w:bottom w:val="none" w:sz="0" w:space="0" w:color="auto"/>
        <w:right w:val="none" w:sz="0" w:space="0" w:color="auto"/>
      </w:divBdr>
      <w:divsChild>
        <w:div w:id="1303775160">
          <w:marLeft w:val="0"/>
          <w:marRight w:val="0"/>
          <w:marTop w:val="0"/>
          <w:marBottom w:val="0"/>
          <w:divBdr>
            <w:top w:val="none" w:sz="0" w:space="0" w:color="3D3D3D"/>
            <w:left w:val="none" w:sz="0" w:space="0" w:color="3D3D3D"/>
            <w:bottom w:val="none" w:sz="0" w:space="0" w:color="3D3D3D"/>
            <w:right w:val="none" w:sz="0" w:space="0" w:color="3D3D3D"/>
          </w:divBdr>
          <w:divsChild>
            <w:div w:id="493764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1399634">
      <w:bodyDiv w:val="1"/>
      <w:marLeft w:val="0"/>
      <w:marRight w:val="0"/>
      <w:marTop w:val="0"/>
      <w:marBottom w:val="0"/>
      <w:divBdr>
        <w:top w:val="none" w:sz="0" w:space="0" w:color="auto"/>
        <w:left w:val="none" w:sz="0" w:space="0" w:color="auto"/>
        <w:bottom w:val="none" w:sz="0" w:space="0" w:color="auto"/>
        <w:right w:val="none" w:sz="0" w:space="0" w:color="auto"/>
      </w:divBdr>
    </w:div>
    <w:div w:id="682633321">
      <w:bodyDiv w:val="1"/>
      <w:marLeft w:val="0"/>
      <w:marRight w:val="0"/>
      <w:marTop w:val="0"/>
      <w:marBottom w:val="0"/>
      <w:divBdr>
        <w:top w:val="none" w:sz="0" w:space="0" w:color="auto"/>
        <w:left w:val="none" w:sz="0" w:space="0" w:color="auto"/>
        <w:bottom w:val="none" w:sz="0" w:space="0" w:color="auto"/>
        <w:right w:val="none" w:sz="0" w:space="0" w:color="auto"/>
      </w:divBdr>
      <w:divsChild>
        <w:div w:id="549004121">
          <w:marLeft w:val="0"/>
          <w:marRight w:val="0"/>
          <w:marTop w:val="0"/>
          <w:marBottom w:val="0"/>
          <w:divBdr>
            <w:top w:val="none" w:sz="0" w:space="0" w:color="3D3D3D"/>
            <w:left w:val="none" w:sz="0" w:space="0" w:color="3D3D3D"/>
            <w:bottom w:val="none" w:sz="0" w:space="0" w:color="3D3D3D"/>
            <w:right w:val="none" w:sz="0" w:space="0" w:color="3D3D3D"/>
          </w:divBdr>
          <w:divsChild>
            <w:div w:id="348410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1439040">
      <w:bodyDiv w:val="1"/>
      <w:marLeft w:val="0"/>
      <w:marRight w:val="0"/>
      <w:marTop w:val="0"/>
      <w:marBottom w:val="0"/>
      <w:divBdr>
        <w:top w:val="none" w:sz="0" w:space="0" w:color="auto"/>
        <w:left w:val="none" w:sz="0" w:space="0" w:color="auto"/>
        <w:bottom w:val="none" w:sz="0" w:space="0" w:color="auto"/>
        <w:right w:val="none" w:sz="0" w:space="0" w:color="auto"/>
      </w:divBdr>
    </w:div>
    <w:div w:id="847671615">
      <w:bodyDiv w:val="1"/>
      <w:marLeft w:val="0"/>
      <w:marRight w:val="0"/>
      <w:marTop w:val="0"/>
      <w:marBottom w:val="0"/>
      <w:divBdr>
        <w:top w:val="none" w:sz="0" w:space="0" w:color="auto"/>
        <w:left w:val="none" w:sz="0" w:space="0" w:color="auto"/>
        <w:bottom w:val="none" w:sz="0" w:space="0" w:color="auto"/>
        <w:right w:val="none" w:sz="0" w:space="0" w:color="auto"/>
      </w:divBdr>
      <w:divsChild>
        <w:div w:id="706879688">
          <w:marLeft w:val="0"/>
          <w:marRight w:val="0"/>
          <w:marTop w:val="0"/>
          <w:marBottom w:val="0"/>
          <w:divBdr>
            <w:top w:val="none" w:sz="0" w:space="0" w:color="3D3D3D"/>
            <w:left w:val="none" w:sz="0" w:space="0" w:color="3D3D3D"/>
            <w:bottom w:val="none" w:sz="0" w:space="0" w:color="3D3D3D"/>
            <w:right w:val="none" w:sz="0" w:space="0" w:color="3D3D3D"/>
          </w:divBdr>
          <w:divsChild>
            <w:div w:id="9637324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1909436">
      <w:bodyDiv w:val="1"/>
      <w:marLeft w:val="0"/>
      <w:marRight w:val="0"/>
      <w:marTop w:val="0"/>
      <w:marBottom w:val="0"/>
      <w:divBdr>
        <w:top w:val="none" w:sz="0" w:space="0" w:color="auto"/>
        <w:left w:val="none" w:sz="0" w:space="0" w:color="auto"/>
        <w:bottom w:val="none" w:sz="0" w:space="0" w:color="auto"/>
        <w:right w:val="none" w:sz="0" w:space="0" w:color="auto"/>
      </w:divBdr>
      <w:divsChild>
        <w:div w:id="1185679055">
          <w:marLeft w:val="0"/>
          <w:marRight w:val="0"/>
          <w:marTop w:val="0"/>
          <w:marBottom w:val="0"/>
          <w:divBdr>
            <w:top w:val="none" w:sz="0" w:space="0" w:color="3D3D3D"/>
            <w:left w:val="none" w:sz="0" w:space="0" w:color="3D3D3D"/>
            <w:bottom w:val="none" w:sz="0" w:space="0" w:color="3D3D3D"/>
            <w:right w:val="none" w:sz="0" w:space="0" w:color="3D3D3D"/>
          </w:divBdr>
          <w:divsChild>
            <w:div w:id="14891342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5304910">
      <w:bodyDiv w:val="1"/>
      <w:marLeft w:val="0"/>
      <w:marRight w:val="0"/>
      <w:marTop w:val="0"/>
      <w:marBottom w:val="0"/>
      <w:divBdr>
        <w:top w:val="none" w:sz="0" w:space="0" w:color="auto"/>
        <w:left w:val="none" w:sz="0" w:space="0" w:color="auto"/>
        <w:bottom w:val="none" w:sz="0" w:space="0" w:color="auto"/>
        <w:right w:val="none" w:sz="0" w:space="0" w:color="auto"/>
      </w:divBdr>
      <w:divsChild>
        <w:div w:id="1997416192">
          <w:marLeft w:val="0"/>
          <w:marRight w:val="0"/>
          <w:marTop w:val="0"/>
          <w:marBottom w:val="0"/>
          <w:divBdr>
            <w:top w:val="none" w:sz="0" w:space="0" w:color="3D3D3D"/>
            <w:left w:val="none" w:sz="0" w:space="0" w:color="3D3D3D"/>
            <w:bottom w:val="none" w:sz="0" w:space="0" w:color="3D3D3D"/>
            <w:right w:val="none" w:sz="0" w:space="0" w:color="3D3D3D"/>
          </w:divBdr>
          <w:divsChild>
            <w:div w:id="12495329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3243797">
      <w:bodyDiv w:val="1"/>
      <w:marLeft w:val="0"/>
      <w:marRight w:val="0"/>
      <w:marTop w:val="0"/>
      <w:marBottom w:val="0"/>
      <w:divBdr>
        <w:top w:val="none" w:sz="0" w:space="0" w:color="auto"/>
        <w:left w:val="none" w:sz="0" w:space="0" w:color="auto"/>
        <w:bottom w:val="none" w:sz="0" w:space="0" w:color="auto"/>
        <w:right w:val="none" w:sz="0" w:space="0" w:color="auto"/>
      </w:divBdr>
      <w:divsChild>
        <w:div w:id="1202547351">
          <w:marLeft w:val="0"/>
          <w:marRight w:val="0"/>
          <w:marTop w:val="0"/>
          <w:marBottom w:val="0"/>
          <w:divBdr>
            <w:top w:val="none" w:sz="0" w:space="0" w:color="3D3D3D"/>
            <w:left w:val="none" w:sz="0" w:space="0" w:color="3D3D3D"/>
            <w:bottom w:val="none" w:sz="0" w:space="0" w:color="3D3D3D"/>
            <w:right w:val="none" w:sz="0" w:space="0" w:color="3D3D3D"/>
          </w:divBdr>
          <w:divsChild>
            <w:div w:id="20959787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0539034">
      <w:bodyDiv w:val="1"/>
      <w:marLeft w:val="0"/>
      <w:marRight w:val="0"/>
      <w:marTop w:val="0"/>
      <w:marBottom w:val="0"/>
      <w:divBdr>
        <w:top w:val="none" w:sz="0" w:space="0" w:color="auto"/>
        <w:left w:val="none" w:sz="0" w:space="0" w:color="auto"/>
        <w:bottom w:val="none" w:sz="0" w:space="0" w:color="auto"/>
        <w:right w:val="none" w:sz="0" w:space="0" w:color="auto"/>
      </w:divBdr>
      <w:divsChild>
        <w:div w:id="2067680943">
          <w:marLeft w:val="0"/>
          <w:marRight w:val="0"/>
          <w:marTop w:val="0"/>
          <w:marBottom w:val="0"/>
          <w:divBdr>
            <w:top w:val="none" w:sz="0" w:space="0" w:color="3D3D3D"/>
            <w:left w:val="none" w:sz="0" w:space="0" w:color="3D3D3D"/>
            <w:bottom w:val="none" w:sz="0" w:space="0" w:color="3D3D3D"/>
            <w:right w:val="none" w:sz="0" w:space="0" w:color="3D3D3D"/>
          </w:divBdr>
          <w:divsChild>
            <w:div w:id="914432182">
              <w:marLeft w:val="0"/>
              <w:marRight w:val="0"/>
              <w:marTop w:val="0"/>
              <w:marBottom w:val="0"/>
              <w:divBdr>
                <w:top w:val="none" w:sz="0" w:space="0" w:color="3D3D3D"/>
                <w:left w:val="none" w:sz="0" w:space="0" w:color="3D3D3D"/>
                <w:bottom w:val="none" w:sz="0" w:space="0" w:color="3D3D3D"/>
                <w:right w:val="none" w:sz="0" w:space="0" w:color="3D3D3D"/>
              </w:divBdr>
              <w:divsChild>
                <w:div w:id="1637173918">
                  <w:marLeft w:val="0"/>
                  <w:marRight w:val="0"/>
                  <w:marTop w:val="0"/>
                  <w:marBottom w:val="0"/>
                  <w:divBdr>
                    <w:top w:val="none" w:sz="0" w:space="0" w:color="3D3D3D"/>
                    <w:left w:val="none" w:sz="0" w:space="0" w:color="3D3D3D"/>
                    <w:bottom w:val="none" w:sz="0" w:space="0" w:color="3D3D3D"/>
                    <w:right w:val="none" w:sz="0" w:space="0" w:color="3D3D3D"/>
                  </w:divBdr>
                  <w:divsChild>
                    <w:div w:id="200489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130246377">
      <w:bodyDiv w:val="1"/>
      <w:marLeft w:val="0"/>
      <w:marRight w:val="0"/>
      <w:marTop w:val="0"/>
      <w:marBottom w:val="0"/>
      <w:divBdr>
        <w:top w:val="none" w:sz="0" w:space="0" w:color="auto"/>
        <w:left w:val="none" w:sz="0" w:space="0" w:color="auto"/>
        <w:bottom w:val="none" w:sz="0" w:space="0" w:color="auto"/>
        <w:right w:val="none" w:sz="0" w:space="0" w:color="auto"/>
      </w:divBdr>
    </w:div>
    <w:div w:id="1137647068">
      <w:bodyDiv w:val="1"/>
      <w:marLeft w:val="0"/>
      <w:marRight w:val="0"/>
      <w:marTop w:val="0"/>
      <w:marBottom w:val="0"/>
      <w:divBdr>
        <w:top w:val="none" w:sz="0" w:space="0" w:color="auto"/>
        <w:left w:val="none" w:sz="0" w:space="0" w:color="auto"/>
        <w:bottom w:val="none" w:sz="0" w:space="0" w:color="auto"/>
        <w:right w:val="none" w:sz="0" w:space="0" w:color="auto"/>
      </w:divBdr>
      <w:divsChild>
        <w:div w:id="1788037787">
          <w:marLeft w:val="0"/>
          <w:marRight w:val="0"/>
          <w:marTop w:val="0"/>
          <w:marBottom w:val="0"/>
          <w:divBdr>
            <w:top w:val="none" w:sz="0" w:space="0" w:color="3D3D3D"/>
            <w:left w:val="none" w:sz="0" w:space="0" w:color="3D3D3D"/>
            <w:bottom w:val="none" w:sz="0" w:space="0" w:color="3D3D3D"/>
            <w:right w:val="none" w:sz="0" w:space="0" w:color="3D3D3D"/>
          </w:divBdr>
          <w:divsChild>
            <w:div w:id="846199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3832499">
      <w:bodyDiv w:val="1"/>
      <w:marLeft w:val="0"/>
      <w:marRight w:val="0"/>
      <w:marTop w:val="0"/>
      <w:marBottom w:val="0"/>
      <w:divBdr>
        <w:top w:val="none" w:sz="0" w:space="0" w:color="auto"/>
        <w:left w:val="none" w:sz="0" w:space="0" w:color="auto"/>
        <w:bottom w:val="none" w:sz="0" w:space="0" w:color="auto"/>
        <w:right w:val="none" w:sz="0" w:space="0" w:color="auto"/>
      </w:divBdr>
      <w:divsChild>
        <w:div w:id="1127940962">
          <w:marLeft w:val="0"/>
          <w:marRight w:val="0"/>
          <w:marTop w:val="0"/>
          <w:marBottom w:val="0"/>
          <w:divBdr>
            <w:top w:val="none" w:sz="0" w:space="0" w:color="3D3D3D"/>
            <w:left w:val="none" w:sz="0" w:space="0" w:color="3D3D3D"/>
            <w:bottom w:val="none" w:sz="0" w:space="0" w:color="3D3D3D"/>
            <w:right w:val="none" w:sz="0" w:space="0" w:color="3D3D3D"/>
          </w:divBdr>
          <w:divsChild>
            <w:div w:id="1423378914">
              <w:marLeft w:val="0"/>
              <w:marRight w:val="0"/>
              <w:marTop w:val="0"/>
              <w:marBottom w:val="0"/>
              <w:divBdr>
                <w:top w:val="none" w:sz="0" w:space="0" w:color="3D3D3D"/>
                <w:left w:val="none" w:sz="0" w:space="0" w:color="3D3D3D"/>
                <w:bottom w:val="none" w:sz="0" w:space="0" w:color="3D3D3D"/>
                <w:right w:val="none" w:sz="0" w:space="0" w:color="3D3D3D"/>
              </w:divBdr>
              <w:divsChild>
                <w:div w:id="1591963478">
                  <w:marLeft w:val="0"/>
                  <w:marRight w:val="0"/>
                  <w:marTop w:val="0"/>
                  <w:marBottom w:val="0"/>
                  <w:divBdr>
                    <w:top w:val="none" w:sz="0" w:space="0" w:color="3D3D3D"/>
                    <w:left w:val="none" w:sz="0" w:space="0" w:color="3D3D3D"/>
                    <w:bottom w:val="none" w:sz="0" w:space="0" w:color="3D3D3D"/>
                    <w:right w:val="none" w:sz="0" w:space="0" w:color="3D3D3D"/>
                  </w:divBdr>
                </w:div>
              </w:divsChild>
            </w:div>
            <w:div w:id="1471052419">
              <w:marLeft w:val="0"/>
              <w:marRight w:val="0"/>
              <w:marTop w:val="224"/>
              <w:marBottom w:val="0"/>
              <w:divBdr>
                <w:top w:val="none" w:sz="0" w:space="0" w:color="3D3D3D"/>
                <w:left w:val="none" w:sz="0" w:space="0" w:color="3D3D3D"/>
                <w:bottom w:val="none" w:sz="0" w:space="0" w:color="3D3D3D"/>
                <w:right w:val="none" w:sz="0" w:space="0" w:color="3D3D3D"/>
              </w:divBdr>
              <w:divsChild>
                <w:div w:id="802843571">
                  <w:marLeft w:val="0"/>
                  <w:marRight w:val="0"/>
                  <w:marTop w:val="0"/>
                  <w:marBottom w:val="0"/>
                  <w:divBdr>
                    <w:top w:val="none" w:sz="0" w:space="0" w:color="3D3D3D"/>
                    <w:left w:val="none" w:sz="0" w:space="0" w:color="3D3D3D"/>
                    <w:bottom w:val="none" w:sz="0" w:space="0" w:color="3D3D3D"/>
                    <w:right w:val="none" w:sz="0" w:space="0" w:color="3D3D3D"/>
                  </w:divBdr>
                </w:div>
              </w:divsChild>
            </w:div>
            <w:div w:id="5163896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3109681">
      <w:bodyDiv w:val="1"/>
      <w:marLeft w:val="0"/>
      <w:marRight w:val="0"/>
      <w:marTop w:val="0"/>
      <w:marBottom w:val="0"/>
      <w:divBdr>
        <w:top w:val="none" w:sz="0" w:space="0" w:color="auto"/>
        <w:left w:val="none" w:sz="0" w:space="0" w:color="auto"/>
        <w:bottom w:val="none" w:sz="0" w:space="0" w:color="auto"/>
        <w:right w:val="none" w:sz="0" w:space="0" w:color="auto"/>
      </w:divBdr>
      <w:divsChild>
        <w:div w:id="526220188">
          <w:marLeft w:val="0"/>
          <w:marRight w:val="0"/>
          <w:marTop w:val="0"/>
          <w:marBottom w:val="0"/>
          <w:divBdr>
            <w:top w:val="none" w:sz="0" w:space="0" w:color="3D3D3D"/>
            <w:left w:val="none" w:sz="0" w:space="0" w:color="3D3D3D"/>
            <w:bottom w:val="none" w:sz="0" w:space="0" w:color="3D3D3D"/>
            <w:right w:val="none" w:sz="0" w:space="0" w:color="3D3D3D"/>
          </w:divBdr>
          <w:divsChild>
            <w:div w:id="19042185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8372061">
      <w:bodyDiv w:val="1"/>
      <w:marLeft w:val="0"/>
      <w:marRight w:val="0"/>
      <w:marTop w:val="0"/>
      <w:marBottom w:val="0"/>
      <w:divBdr>
        <w:top w:val="none" w:sz="0" w:space="0" w:color="auto"/>
        <w:left w:val="none" w:sz="0" w:space="0" w:color="auto"/>
        <w:bottom w:val="none" w:sz="0" w:space="0" w:color="auto"/>
        <w:right w:val="none" w:sz="0" w:space="0" w:color="auto"/>
      </w:divBdr>
      <w:divsChild>
        <w:div w:id="1307777952">
          <w:marLeft w:val="0"/>
          <w:marRight w:val="0"/>
          <w:marTop w:val="0"/>
          <w:marBottom w:val="0"/>
          <w:divBdr>
            <w:top w:val="none" w:sz="0" w:space="0" w:color="3D3D3D"/>
            <w:left w:val="none" w:sz="0" w:space="0" w:color="3D3D3D"/>
            <w:bottom w:val="none" w:sz="0" w:space="0" w:color="3D3D3D"/>
            <w:right w:val="none" w:sz="0" w:space="0" w:color="3D3D3D"/>
          </w:divBdr>
          <w:divsChild>
            <w:div w:id="1460414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3388551">
      <w:bodyDiv w:val="1"/>
      <w:marLeft w:val="0"/>
      <w:marRight w:val="0"/>
      <w:marTop w:val="0"/>
      <w:marBottom w:val="0"/>
      <w:divBdr>
        <w:top w:val="none" w:sz="0" w:space="0" w:color="auto"/>
        <w:left w:val="none" w:sz="0" w:space="0" w:color="auto"/>
        <w:bottom w:val="none" w:sz="0" w:space="0" w:color="auto"/>
        <w:right w:val="none" w:sz="0" w:space="0" w:color="auto"/>
      </w:divBdr>
      <w:divsChild>
        <w:div w:id="863205736">
          <w:marLeft w:val="0"/>
          <w:marRight w:val="0"/>
          <w:marTop w:val="0"/>
          <w:marBottom w:val="0"/>
          <w:divBdr>
            <w:top w:val="none" w:sz="0" w:space="0" w:color="3D3D3D"/>
            <w:left w:val="none" w:sz="0" w:space="0" w:color="3D3D3D"/>
            <w:bottom w:val="none" w:sz="0" w:space="0" w:color="3D3D3D"/>
            <w:right w:val="none" w:sz="0" w:space="0" w:color="3D3D3D"/>
          </w:divBdr>
          <w:divsChild>
            <w:div w:id="7340901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2152720">
      <w:bodyDiv w:val="1"/>
      <w:marLeft w:val="0"/>
      <w:marRight w:val="0"/>
      <w:marTop w:val="0"/>
      <w:marBottom w:val="0"/>
      <w:divBdr>
        <w:top w:val="none" w:sz="0" w:space="0" w:color="auto"/>
        <w:left w:val="none" w:sz="0" w:space="0" w:color="auto"/>
        <w:bottom w:val="none" w:sz="0" w:space="0" w:color="auto"/>
        <w:right w:val="none" w:sz="0" w:space="0" w:color="auto"/>
      </w:divBdr>
      <w:divsChild>
        <w:div w:id="706640780">
          <w:marLeft w:val="0"/>
          <w:marRight w:val="0"/>
          <w:marTop w:val="0"/>
          <w:marBottom w:val="0"/>
          <w:divBdr>
            <w:top w:val="none" w:sz="0" w:space="0" w:color="3D3D3D"/>
            <w:left w:val="none" w:sz="0" w:space="0" w:color="3D3D3D"/>
            <w:bottom w:val="none" w:sz="0" w:space="0" w:color="3D3D3D"/>
            <w:right w:val="none" w:sz="0" w:space="0" w:color="3D3D3D"/>
          </w:divBdr>
          <w:divsChild>
            <w:div w:id="7704672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5500168">
      <w:bodyDiv w:val="1"/>
      <w:marLeft w:val="0"/>
      <w:marRight w:val="0"/>
      <w:marTop w:val="0"/>
      <w:marBottom w:val="0"/>
      <w:divBdr>
        <w:top w:val="none" w:sz="0" w:space="0" w:color="auto"/>
        <w:left w:val="none" w:sz="0" w:space="0" w:color="auto"/>
        <w:bottom w:val="none" w:sz="0" w:space="0" w:color="auto"/>
        <w:right w:val="none" w:sz="0" w:space="0" w:color="auto"/>
      </w:divBdr>
      <w:divsChild>
        <w:div w:id="768309082">
          <w:marLeft w:val="0"/>
          <w:marRight w:val="0"/>
          <w:marTop w:val="0"/>
          <w:marBottom w:val="0"/>
          <w:divBdr>
            <w:top w:val="none" w:sz="0" w:space="0" w:color="3D3D3D"/>
            <w:left w:val="none" w:sz="0" w:space="0" w:color="3D3D3D"/>
            <w:bottom w:val="none" w:sz="0" w:space="0" w:color="3D3D3D"/>
            <w:right w:val="none" w:sz="0" w:space="0" w:color="3D3D3D"/>
          </w:divBdr>
          <w:divsChild>
            <w:div w:id="10698892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10040714">
          <w:marLeft w:val="0"/>
          <w:marRight w:val="0"/>
          <w:marTop w:val="0"/>
          <w:marBottom w:val="0"/>
          <w:divBdr>
            <w:top w:val="none" w:sz="0" w:space="0" w:color="3D3D3D"/>
            <w:left w:val="none" w:sz="0" w:space="0" w:color="3D3D3D"/>
            <w:bottom w:val="none" w:sz="0" w:space="0" w:color="3D3D3D"/>
            <w:right w:val="none" w:sz="0" w:space="0" w:color="3D3D3D"/>
          </w:divBdr>
          <w:divsChild>
            <w:div w:id="11103911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1244439">
      <w:bodyDiv w:val="1"/>
      <w:marLeft w:val="0"/>
      <w:marRight w:val="0"/>
      <w:marTop w:val="0"/>
      <w:marBottom w:val="0"/>
      <w:divBdr>
        <w:top w:val="none" w:sz="0" w:space="0" w:color="auto"/>
        <w:left w:val="none" w:sz="0" w:space="0" w:color="auto"/>
        <w:bottom w:val="none" w:sz="0" w:space="0" w:color="auto"/>
        <w:right w:val="none" w:sz="0" w:space="0" w:color="auto"/>
      </w:divBdr>
      <w:divsChild>
        <w:div w:id="1325932455">
          <w:marLeft w:val="0"/>
          <w:marRight w:val="0"/>
          <w:marTop w:val="0"/>
          <w:marBottom w:val="0"/>
          <w:divBdr>
            <w:top w:val="none" w:sz="0" w:space="0" w:color="3D3D3D"/>
            <w:left w:val="none" w:sz="0" w:space="0" w:color="3D3D3D"/>
            <w:bottom w:val="none" w:sz="0" w:space="0" w:color="3D3D3D"/>
            <w:right w:val="none" w:sz="0" w:space="0" w:color="3D3D3D"/>
          </w:divBdr>
          <w:divsChild>
            <w:div w:id="20457155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9741598">
      <w:bodyDiv w:val="1"/>
      <w:marLeft w:val="0"/>
      <w:marRight w:val="0"/>
      <w:marTop w:val="0"/>
      <w:marBottom w:val="0"/>
      <w:divBdr>
        <w:top w:val="none" w:sz="0" w:space="0" w:color="auto"/>
        <w:left w:val="none" w:sz="0" w:space="0" w:color="auto"/>
        <w:bottom w:val="none" w:sz="0" w:space="0" w:color="auto"/>
        <w:right w:val="none" w:sz="0" w:space="0" w:color="auto"/>
      </w:divBdr>
      <w:divsChild>
        <w:div w:id="2008317012">
          <w:marLeft w:val="0"/>
          <w:marRight w:val="0"/>
          <w:marTop w:val="0"/>
          <w:marBottom w:val="0"/>
          <w:divBdr>
            <w:top w:val="none" w:sz="0" w:space="0" w:color="3D3D3D"/>
            <w:left w:val="none" w:sz="0" w:space="0" w:color="3D3D3D"/>
            <w:bottom w:val="none" w:sz="0" w:space="0" w:color="3D3D3D"/>
            <w:right w:val="none" w:sz="0" w:space="0" w:color="3D3D3D"/>
          </w:divBdr>
          <w:divsChild>
            <w:div w:id="17338429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6310733">
      <w:bodyDiv w:val="1"/>
      <w:marLeft w:val="0"/>
      <w:marRight w:val="0"/>
      <w:marTop w:val="0"/>
      <w:marBottom w:val="0"/>
      <w:divBdr>
        <w:top w:val="none" w:sz="0" w:space="0" w:color="auto"/>
        <w:left w:val="none" w:sz="0" w:space="0" w:color="auto"/>
        <w:bottom w:val="none" w:sz="0" w:space="0" w:color="auto"/>
        <w:right w:val="none" w:sz="0" w:space="0" w:color="auto"/>
      </w:divBdr>
      <w:divsChild>
        <w:div w:id="1794638647">
          <w:marLeft w:val="0"/>
          <w:marRight w:val="0"/>
          <w:marTop w:val="0"/>
          <w:marBottom w:val="0"/>
          <w:divBdr>
            <w:top w:val="none" w:sz="0" w:space="0" w:color="3D3D3D"/>
            <w:left w:val="none" w:sz="0" w:space="0" w:color="3D3D3D"/>
            <w:bottom w:val="none" w:sz="0" w:space="0" w:color="3D3D3D"/>
            <w:right w:val="none" w:sz="0" w:space="0" w:color="3D3D3D"/>
          </w:divBdr>
          <w:divsChild>
            <w:div w:id="1391885424">
              <w:marLeft w:val="0"/>
              <w:marRight w:val="0"/>
              <w:marTop w:val="0"/>
              <w:marBottom w:val="0"/>
              <w:divBdr>
                <w:top w:val="none" w:sz="0" w:space="0" w:color="3D3D3D"/>
                <w:left w:val="none" w:sz="0" w:space="0" w:color="3D3D3D"/>
                <w:bottom w:val="none" w:sz="0" w:space="0" w:color="3D3D3D"/>
                <w:right w:val="none" w:sz="0" w:space="0" w:color="3D3D3D"/>
              </w:divBdr>
              <w:divsChild>
                <w:div w:id="1582831483">
                  <w:marLeft w:val="0"/>
                  <w:marRight w:val="0"/>
                  <w:marTop w:val="0"/>
                  <w:marBottom w:val="0"/>
                  <w:divBdr>
                    <w:top w:val="none" w:sz="0" w:space="0" w:color="3D3D3D"/>
                    <w:left w:val="none" w:sz="0" w:space="0" w:color="3D3D3D"/>
                    <w:bottom w:val="none" w:sz="0" w:space="0" w:color="3D3D3D"/>
                    <w:right w:val="none" w:sz="0" w:space="0" w:color="3D3D3D"/>
                  </w:divBdr>
                </w:div>
              </w:divsChild>
            </w:div>
            <w:div w:id="1362245926">
              <w:marLeft w:val="0"/>
              <w:marRight w:val="0"/>
              <w:marTop w:val="224"/>
              <w:marBottom w:val="0"/>
              <w:divBdr>
                <w:top w:val="none" w:sz="0" w:space="0" w:color="3D3D3D"/>
                <w:left w:val="none" w:sz="0" w:space="0" w:color="3D3D3D"/>
                <w:bottom w:val="none" w:sz="0" w:space="0" w:color="3D3D3D"/>
                <w:right w:val="none" w:sz="0" w:space="0" w:color="3D3D3D"/>
              </w:divBdr>
              <w:divsChild>
                <w:div w:id="1975133993">
                  <w:marLeft w:val="0"/>
                  <w:marRight w:val="0"/>
                  <w:marTop w:val="0"/>
                  <w:marBottom w:val="0"/>
                  <w:divBdr>
                    <w:top w:val="none" w:sz="0" w:space="0" w:color="3D3D3D"/>
                    <w:left w:val="none" w:sz="0" w:space="0" w:color="3D3D3D"/>
                    <w:bottom w:val="none" w:sz="0" w:space="0" w:color="3D3D3D"/>
                    <w:right w:val="none" w:sz="0" w:space="0" w:color="3D3D3D"/>
                  </w:divBdr>
                </w:div>
              </w:divsChild>
            </w:div>
            <w:div w:id="1732193235">
              <w:marLeft w:val="0"/>
              <w:marRight w:val="0"/>
              <w:marTop w:val="224"/>
              <w:marBottom w:val="0"/>
              <w:divBdr>
                <w:top w:val="none" w:sz="0" w:space="0" w:color="3D3D3D"/>
                <w:left w:val="none" w:sz="0" w:space="0" w:color="3D3D3D"/>
                <w:bottom w:val="none" w:sz="0" w:space="0" w:color="3D3D3D"/>
                <w:right w:val="none" w:sz="0" w:space="0" w:color="3D3D3D"/>
              </w:divBdr>
              <w:divsChild>
                <w:div w:id="84157909">
                  <w:marLeft w:val="0"/>
                  <w:marRight w:val="0"/>
                  <w:marTop w:val="0"/>
                  <w:marBottom w:val="0"/>
                  <w:divBdr>
                    <w:top w:val="none" w:sz="0" w:space="0" w:color="3D3D3D"/>
                    <w:left w:val="none" w:sz="0" w:space="0" w:color="3D3D3D"/>
                    <w:bottom w:val="none" w:sz="0" w:space="0" w:color="3D3D3D"/>
                    <w:right w:val="none" w:sz="0" w:space="0" w:color="3D3D3D"/>
                  </w:divBdr>
                </w:div>
              </w:divsChild>
            </w:div>
            <w:div w:id="1218204189">
              <w:marLeft w:val="0"/>
              <w:marRight w:val="0"/>
              <w:marTop w:val="224"/>
              <w:marBottom w:val="0"/>
              <w:divBdr>
                <w:top w:val="none" w:sz="0" w:space="0" w:color="3D3D3D"/>
                <w:left w:val="none" w:sz="0" w:space="0" w:color="3D3D3D"/>
                <w:bottom w:val="none" w:sz="0" w:space="0" w:color="3D3D3D"/>
                <w:right w:val="none" w:sz="0" w:space="0" w:color="3D3D3D"/>
              </w:divBdr>
              <w:divsChild>
                <w:div w:id="1186988154">
                  <w:marLeft w:val="0"/>
                  <w:marRight w:val="0"/>
                  <w:marTop w:val="0"/>
                  <w:marBottom w:val="0"/>
                  <w:divBdr>
                    <w:top w:val="none" w:sz="0" w:space="0" w:color="3D3D3D"/>
                    <w:left w:val="none" w:sz="0" w:space="0" w:color="3D3D3D"/>
                    <w:bottom w:val="none" w:sz="0" w:space="0" w:color="3D3D3D"/>
                    <w:right w:val="none" w:sz="0" w:space="0" w:color="3D3D3D"/>
                  </w:divBdr>
                </w:div>
              </w:divsChild>
            </w:div>
            <w:div w:id="12389001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7789359">
      <w:bodyDiv w:val="1"/>
      <w:marLeft w:val="0"/>
      <w:marRight w:val="0"/>
      <w:marTop w:val="0"/>
      <w:marBottom w:val="0"/>
      <w:divBdr>
        <w:top w:val="none" w:sz="0" w:space="0" w:color="auto"/>
        <w:left w:val="none" w:sz="0" w:space="0" w:color="auto"/>
        <w:bottom w:val="none" w:sz="0" w:space="0" w:color="auto"/>
        <w:right w:val="none" w:sz="0" w:space="0" w:color="auto"/>
      </w:divBdr>
      <w:divsChild>
        <w:div w:id="1821994164">
          <w:marLeft w:val="0"/>
          <w:marRight w:val="0"/>
          <w:marTop w:val="0"/>
          <w:marBottom w:val="0"/>
          <w:divBdr>
            <w:top w:val="none" w:sz="0" w:space="0" w:color="3D3D3D"/>
            <w:left w:val="none" w:sz="0" w:space="0" w:color="3D3D3D"/>
            <w:bottom w:val="none" w:sz="0" w:space="0" w:color="3D3D3D"/>
            <w:right w:val="none" w:sz="0" w:space="0" w:color="3D3D3D"/>
          </w:divBdr>
          <w:divsChild>
            <w:div w:id="790633690">
              <w:marLeft w:val="0"/>
              <w:marRight w:val="0"/>
              <w:marTop w:val="0"/>
              <w:marBottom w:val="0"/>
              <w:divBdr>
                <w:top w:val="none" w:sz="0" w:space="0" w:color="3D3D3D"/>
                <w:left w:val="none" w:sz="0" w:space="0" w:color="3D3D3D"/>
                <w:bottom w:val="none" w:sz="0" w:space="0" w:color="3D3D3D"/>
                <w:right w:val="none" w:sz="0" w:space="0" w:color="3D3D3D"/>
              </w:divBdr>
              <w:divsChild>
                <w:div w:id="1748918360">
                  <w:marLeft w:val="0"/>
                  <w:marRight w:val="0"/>
                  <w:marTop w:val="0"/>
                  <w:marBottom w:val="0"/>
                  <w:divBdr>
                    <w:top w:val="none" w:sz="0" w:space="0" w:color="3D3D3D"/>
                    <w:left w:val="none" w:sz="0" w:space="0" w:color="3D3D3D"/>
                    <w:bottom w:val="none" w:sz="0" w:space="0" w:color="3D3D3D"/>
                    <w:right w:val="none" w:sz="0" w:space="0" w:color="3D3D3D"/>
                  </w:divBdr>
                </w:div>
              </w:divsChild>
            </w:div>
            <w:div w:id="392509654">
              <w:marLeft w:val="0"/>
              <w:marRight w:val="0"/>
              <w:marTop w:val="224"/>
              <w:marBottom w:val="0"/>
              <w:divBdr>
                <w:top w:val="none" w:sz="0" w:space="0" w:color="3D3D3D"/>
                <w:left w:val="none" w:sz="0" w:space="0" w:color="3D3D3D"/>
                <w:bottom w:val="none" w:sz="0" w:space="0" w:color="3D3D3D"/>
                <w:right w:val="none" w:sz="0" w:space="0" w:color="3D3D3D"/>
              </w:divBdr>
              <w:divsChild>
                <w:div w:id="1842158468">
                  <w:marLeft w:val="0"/>
                  <w:marRight w:val="0"/>
                  <w:marTop w:val="0"/>
                  <w:marBottom w:val="0"/>
                  <w:divBdr>
                    <w:top w:val="none" w:sz="0" w:space="0" w:color="3D3D3D"/>
                    <w:left w:val="none" w:sz="0" w:space="0" w:color="3D3D3D"/>
                    <w:bottom w:val="none" w:sz="0" w:space="0" w:color="3D3D3D"/>
                    <w:right w:val="none" w:sz="0" w:space="0" w:color="3D3D3D"/>
                  </w:divBdr>
                </w:div>
              </w:divsChild>
            </w:div>
            <w:div w:id="154307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0994003">
      <w:bodyDiv w:val="1"/>
      <w:marLeft w:val="0"/>
      <w:marRight w:val="0"/>
      <w:marTop w:val="0"/>
      <w:marBottom w:val="0"/>
      <w:divBdr>
        <w:top w:val="none" w:sz="0" w:space="0" w:color="auto"/>
        <w:left w:val="none" w:sz="0" w:space="0" w:color="auto"/>
        <w:bottom w:val="none" w:sz="0" w:space="0" w:color="auto"/>
        <w:right w:val="none" w:sz="0" w:space="0" w:color="auto"/>
      </w:divBdr>
      <w:divsChild>
        <w:div w:id="1034580052">
          <w:marLeft w:val="0"/>
          <w:marRight w:val="0"/>
          <w:marTop w:val="0"/>
          <w:marBottom w:val="0"/>
          <w:divBdr>
            <w:top w:val="none" w:sz="0" w:space="0" w:color="3D3D3D"/>
            <w:left w:val="none" w:sz="0" w:space="0" w:color="3D3D3D"/>
            <w:bottom w:val="none" w:sz="0" w:space="0" w:color="3D3D3D"/>
            <w:right w:val="none" w:sz="0" w:space="0" w:color="3D3D3D"/>
          </w:divBdr>
          <w:divsChild>
            <w:div w:id="10138449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5890465">
      <w:bodyDiv w:val="1"/>
      <w:marLeft w:val="0"/>
      <w:marRight w:val="0"/>
      <w:marTop w:val="0"/>
      <w:marBottom w:val="0"/>
      <w:divBdr>
        <w:top w:val="none" w:sz="0" w:space="0" w:color="auto"/>
        <w:left w:val="none" w:sz="0" w:space="0" w:color="auto"/>
        <w:bottom w:val="none" w:sz="0" w:space="0" w:color="auto"/>
        <w:right w:val="none" w:sz="0" w:space="0" w:color="auto"/>
      </w:divBdr>
      <w:divsChild>
        <w:div w:id="525027913">
          <w:marLeft w:val="0"/>
          <w:marRight w:val="0"/>
          <w:marTop w:val="0"/>
          <w:marBottom w:val="0"/>
          <w:divBdr>
            <w:top w:val="none" w:sz="0" w:space="0" w:color="3D3D3D"/>
            <w:left w:val="none" w:sz="0" w:space="0" w:color="3D3D3D"/>
            <w:bottom w:val="none" w:sz="0" w:space="0" w:color="3D3D3D"/>
            <w:right w:val="none" w:sz="0" w:space="0" w:color="3D3D3D"/>
          </w:divBdr>
          <w:divsChild>
            <w:div w:id="13539903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1590635">
      <w:bodyDiv w:val="1"/>
      <w:marLeft w:val="0"/>
      <w:marRight w:val="0"/>
      <w:marTop w:val="0"/>
      <w:marBottom w:val="0"/>
      <w:divBdr>
        <w:top w:val="none" w:sz="0" w:space="0" w:color="auto"/>
        <w:left w:val="none" w:sz="0" w:space="0" w:color="auto"/>
        <w:bottom w:val="none" w:sz="0" w:space="0" w:color="auto"/>
        <w:right w:val="none" w:sz="0" w:space="0" w:color="auto"/>
      </w:divBdr>
      <w:divsChild>
        <w:div w:id="410274864">
          <w:marLeft w:val="0"/>
          <w:marRight w:val="0"/>
          <w:marTop w:val="0"/>
          <w:marBottom w:val="0"/>
          <w:divBdr>
            <w:top w:val="none" w:sz="0" w:space="0" w:color="3D3D3D"/>
            <w:left w:val="none" w:sz="0" w:space="0" w:color="3D3D3D"/>
            <w:bottom w:val="none" w:sz="0" w:space="0" w:color="3D3D3D"/>
            <w:right w:val="none" w:sz="0" w:space="0" w:color="3D3D3D"/>
          </w:divBdr>
          <w:divsChild>
            <w:div w:id="14994681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8569501">
      <w:bodyDiv w:val="1"/>
      <w:marLeft w:val="0"/>
      <w:marRight w:val="0"/>
      <w:marTop w:val="0"/>
      <w:marBottom w:val="0"/>
      <w:divBdr>
        <w:top w:val="none" w:sz="0" w:space="0" w:color="auto"/>
        <w:left w:val="none" w:sz="0" w:space="0" w:color="auto"/>
        <w:bottom w:val="none" w:sz="0" w:space="0" w:color="auto"/>
        <w:right w:val="none" w:sz="0" w:space="0" w:color="auto"/>
      </w:divBdr>
      <w:divsChild>
        <w:div w:id="396898110">
          <w:marLeft w:val="0"/>
          <w:marRight w:val="0"/>
          <w:marTop w:val="0"/>
          <w:marBottom w:val="0"/>
          <w:divBdr>
            <w:top w:val="none" w:sz="0" w:space="0" w:color="3D3D3D"/>
            <w:left w:val="none" w:sz="0" w:space="0" w:color="3D3D3D"/>
            <w:bottom w:val="none" w:sz="0" w:space="0" w:color="3D3D3D"/>
            <w:right w:val="none" w:sz="0" w:space="0" w:color="3D3D3D"/>
          </w:divBdr>
          <w:divsChild>
            <w:div w:id="4899494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9614761">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0">
          <w:marLeft w:val="0"/>
          <w:marRight w:val="0"/>
          <w:marTop w:val="0"/>
          <w:marBottom w:val="0"/>
          <w:divBdr>
            <w:top w:val="none" w:sz="0" w:space="0" w:color="3D3D3D"/>
            <w:left w:val="none" w:sz="0" w:space="0" w:color="3D3D3D"/>
            <w:bottom w:val="none" w:sz="0" w:space="0" w:color="3D3D3D"/>
            <w:right w:val="none" w:sz="0" w:space="0" w:color="3D3D3D"/>
          </w:divBdr>
          <w:divsChild>
            <w:div w:id="14733244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2954790">
      <w:bodyDiv w:val="1"/>
      <w:marLeft w:val="0"/>
      <w:marRight w:val="0"/>
      <w:marTop w:val="0"/>
      <w:marBottom w:val="0"/>
      <w:divBdr>
        <w:top w:val="none" w:sz="0" w:space="0" w:color="auto"/>
        <w:left w:val="none" w:sz="0" w:space="0" w:color="auto"/>
        <w:bottom w:val="none" w:sz="0" w:space="0" w:color="auto"/>
        <w:right w:val="none" w:sz="0" w:space="0" w:color="auto"/>
      </w:divBdr>
      <w:divsChild>
        <w:div w:id="734546385">
          <w:marLeft w:val="0"/>
          <w:marRight w:val="0"/>
          <w:marTop w:val="0"/>
          <w:marBottom w:val="0"/>
          <w:divBdr>
            <w:top w:val="none" w:sz="0" w:space="0" w:color="3D3D3D"/>
            <w:left w:val="none" w:sz="0" w:space="0" w:color="3D3D3D"/>
            <w:bottom w:val="none" w:sz="0" w:space="0" w:color="3D3D3D"/>
            <w:right w:val="none" w:sz="0" w:space="0" w:color="3D3D3D"/>
          </w:divBdr>
          <w:divsChild>
            <w:div w:id="2840467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0453369">
      <w:bodyDiv w:val="1"/>
      <w:marLeft w:val="0"/>
      <w:marRight w:val="0"/>
      <w:marTop w:val="0"/>
      <w:marBottom w:val="0"/>
      <w:divBdr>
        <w:top w:val="none" w:sz="0" w:space="0" w:color="auto"/>
        <w:left w:val="none" w:sz="0" w:space="0" w:color="auto"/>
        <w:bottom w:val="none" w:sz="0" w:space="0" w:color="auto"/>
        <w:right w:val="none" w:sz="0" w:space="0" w:color="auto"/>
      </w:divBdr>
      <w:divsChild>
        <w:div w:id="911160537">
          <w:marLeft w:val="0"/>
          <w:marRight w:val="0"/>
          <w:marTop w:val="0"/>
          <w:marBottom w:val="0"/>
          <w:divBdr>
            <w:top w:val="none" w:sz="0" w:space="0" w:color="3D3D3D"/>
            <w:left w:val="none" w:sz="0" w:space="0" w:color="3D3D3D"/>
            <w:bottom w:val="none" w:sz="0" w:space="0" w:color="3D3D3D"/>
            <w:right w:val="none" w:sz="0" w:space="0" w:color="3D3D3D"/>
          </w:divBdr>
          <w:divsChild>
            <w:div w:id="18991227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7295435">
      <w:bodyDiv w:val="1"/>
      <w:marLeft w:val="0"/>
      <w:marRight w:val="0"/>
      <w:marTop w:val="0"/>
      <w:marBottom w:val="0"/>
      <w:divBdr>
        <w:top w:val="none" w:sz="0" w:space="0" w:color="auto"/>
        <w:left w:val="none" w:sz="0" w:space="0" w:color="auto"/>
        <w:bottom w:val="none" w:sz="0" w:space="0" w:color="auto"/>
        <w:right w:val="none" w:sz="0" w:space="0" w:color="auto"/>
      </w:divBdr>
      <w:divsChild>
        <w:div w:id="1704749173">
          <w:marLeft w:val="0"/>
          <w:marRight w:val="0"/>
          <w:marTop w:val="0"/>
          <w:marBottom w:val="0"/>
          <w:divBdr>
            <w:top w:val="none" w:sz="0" w:space="0" w:color="3D3D3D"/>
            <w:left w:val="none" w:sz="0" w:space="0" w:color="3D3D3D"/>
            <w:bottom w:val="none" w:sz="0" w:space="0" w:color="3D3D3D"/>
            <w:right w:val="none" w:sz="0" w:space="0" w:color="3D3D3D"/>
          </w:divBdr>
          <w:divsChild>
            <w:div w:id="11383006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4093768">
      <w:bodyDiv w:val="1"/>
      <w:marLeft w:val="0"/>
      <w:marRight w:val="0"/>
      <w:marTop w:val="0"/>
      <w:marBottom w:val="0"/>
      <w:divBdr>
        <w:top w:val="none" w:sz="0" w:space="0" w:color="auto"/>
        <w:left w:val="none" w:sz="0" w:space="0" w:color="auto"/>
        <w:bottom w:val="none" w:sz="0" w:space="0" w:color="auto"/>
        <w:right w:val="none" w:sz="0" w:space="0" w:color="auto"/>
      </w:divBdr>
      <w:divsChild>
        <w:div w:id="88350635">
          <w:marLeft w:val="0"/>
          <w:marRight w:val="0"/>
          <w:marTop w:val="0"/>
          <w:marBottom w:val="0"/>
          <w:divBdr>
            <w:top w:val="none" w:sz="0" w:space="0" w:color="3D3D3D"/>
            <w:left w:val="none" w:sz="0" w:space="0" w:color="3D3D3D"/>
            <w:bottom w:val="none" w:sz="0" w:space="0" w:color="3D3D3D"/>
            <w:right w:val="none" w:sz="0" w:space="0" w:color="3D3D3D"/>
          </w:divBdr>
          <w:divsChild>
            <w:div w:id="8777413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ED57-254C-B346-A24E-58A4A61F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2024-04-20T18:47:00Z</dcterms:created>
  <dcterms:modified xsi:type="dcterms:W3CDTF">2024-04-20T18:47:00Z</dcterms:modified>
</cp:coreProperties>
</file>